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15509" w14:textId="77777777" w:rsidR="006E084B" w:rsidRPr="002B66F8" w:rsidRDefault="006E084B" w:rsidP="006E084B">
      <w:pPr>
        <w:widowControl w:val="0"/>
        <w:pBdr>
          <w:top w:val="nil"/>
          <w:left w:val="nil"/>
          <w:bottom w:val="single" w:sz="4" w:space="1" w:color="C55911"/>
          <w:right w:val="nil"/>
          <w:between w:val="nil"/>
        </w:pBdr>
        <w:spacing w:after="0" w:line="240" w:lineRule="auto"/>
        <w:rPr>
          <w:rFonts w:ascii="Tahoma" w:eastAsia="Tahoma" w:hAnsi="Tahoma" w:cs="Tahoma"/>
          <w:b/>
          <w:i/>
          <w:noProof/>
          <w:color w:val="00B0F0"/>
          <w:sz w:val="24"/>
          <w:szCs w:val="24"/>
        </w:rPr>
        <w:sectPr w:rsidR="006E084B" w:rsidRPr="002B66F8" w:rsidSect="005C7F0F">
          <w:headerReference w:type="default" r:id="rId6"/>
          <w:footerReference w:type="default" r:id="rId7"/>
          <w:footerReference w:type="first" r:id="rId8"/>
          <w:pgSz w:w="11906" w:h="16838"/>
          <w:pgMar w:top="1134" w:right="1134" w:bottom="1134" w:left="1134" w:header="680" w:footer="567" w:gutter="0"/>
          <w:pgNumType w:start="108"/>
          <w:cols w:space="720"/>
          <w:titlePg/>
          <w:docGrid w:linePitch="299"/>
        </w:sectPr>
      </w:pPr>
      <w:r w:rsidRPr="002B66F8">
        <w:rPr>
          <w:rFonts w:ascii="Tahoma" w:eastAsia="Tahoma" w:hAnsi="Tahoma" w:cs="Tahoma"/>
          <w:b/>
          <w:i/>
          <w:noProof/>
          <w:color w:val="4472C4"/>
          <w:sz w:val="24"/>
          <w:szCs w:val="24"/>
        </w:rPr>
        <w:tab/>
      </w:r>
      <w:r w:rsidRPr="002B66F8">
        <w:rPr>
          <w:rFonts w:ascii="Tahoma" w:eastAsia="Tahoma" w:hAnsi="Tahoma" w:cs="Tahoma"/>
          <w:b/>
          <w:i/>
          <w:noProof/>
          <w:color w:val="4472C4"/>
          <w:sz w:val="24"/>
          <w:szCs w:val="24"/>
        </w:rPr>
        <w:tab/>
      </w:r>
      <w:r w:rsidRPr="002B66F8">
        <w:rPr>
          <w:rFonts w:ascii="Tahoma" w:eastAsia="Tahoma" w:hAnsi="Tahoma" w:cs="Tahoma"/>
          <w:b/>
          <w:i/>
          <w:noProof/>
          <w:color w:val="4472C4"/>
          <w:sz w:val="24"/>
          <w:szCs w:val="24"/>
        </w:rPr>
        <w:tab/>
      </w:r>
      <w:r w:rsidRPr="002B66F8">
        <w:rPr>
          <w:rFonts w:ascii="Tahoma" w:eastAsia="Tahoma" w:hAnsi="Tahoma" w:cs="Tahoma"/>
          <w:b/>
          <w:i/>
          <w:noProof/>
          <w:color w:val="4472C4"/>
          <w:sz w:val="24"/>
          <w:szCs w:val="24"/>
        </w:rPr>
        <w:tab/>
      </w:r>
      <w:r w:rsidRPr="002B66F8">
        <w:rPr>
          <w:rFonts w:ascii="Tahoma" w:eastAsia="Tahoma" w:hAnsi="Tahoma" w:cs="Tahoma"/>
          <w:b/>
          <w:i/>
          <w:noProof/>
          <w:color w:val="4472C4"/>
          <w:sz w:val="24"/>
          <w:szCs w:val="24"/>
        </w:rPr>
        <w:tab/>
      </w:r>
      <w:r w:rsidRPr="002B66F8">
        <w:rPr>
          <w:rFonts w:ascii="Tahoma" w:eastAsia="Tahoma" w:hAnsi="Tahoma" w:cs="Tahoma"/>
          <w:b/>
          <w:i/>
          <w:noProof/>
          <w:color w:val="4472C4"/>
          <w:sz w:val="24"/>
          <w:szCs w:val="24"/>
        </w:rPr>
        <w:tab/>
      </w:r>
      <w:r w:rsidRPr="002B66F8">
        <w:rPr>
          <w:noProof/>
          <w:lang w:val="en-GB" w:eastAsia="en-GB"/>
        </w:rPr>
        <mc:AlternateContent>
          <mc:Choice Requires="wps">
            <w:drawing>
              <wp:anchor distT="0" distB="0" distL="114300" distR="114300" simplePos="0" relativeHeight="251659264" behindDoc="0" locked="0" layoutInCell="1" hidden="0" allowOverlap="1" wp14:anchorId="313F2932" wp14:editId="5F1C29E5">
                <wp:simplePos x="0" y="0"/>
                <wp:positionH relativeFrom="column">
                  <wp:posOffset>1</wp:posOffset>
                </wp:positionH>
                <wp:positionV relativeFrom="paragraph">
                  <wp:posOffset>-266699</wp:posOffset>
                </wp:positionV>
                <wp:extent cx="6137275" cy="441325"/>
                <wp:effectExtent l="0" t="0" r="0" b="0"/>
                <wp:wrapNone/>
                <wp:docPr id="5" name="Rectangle: Rounded Corners 5"/>
                <wp:cNvGraphicFramePr/>
                <a:graphic xmlns:a="http://schemas.openxmlformats.org/drawingml/2006/main">
                  <a:graphicData uri="http://schemas.microsoft.com/office/word/2010/wordprocessingShape">
                    <wps:wsp>
                      <wps:cNvSpPr/>
                      <wps:spPr>
                        <a:xfrm>
                          <a:off x="2283713" y="3565688"/>
                          <a:ext cx="6124575" cy="428625"/>
                        </a:xfrm>
                        <a:prstGeom prst="roundRect">
                          <a:avLst>
                            <a:gd name="adj" fmla="val 16667"/>
                          </a:avLst>
                        </a:prstGeom>
                        <a:solidFill>
                          <a:srgbClr val="FBE4D4"/>
                        </a:solidFill>
                        <a:ln w="12700" cap="flat" cmpd="sng">
                          <a:solidFill>
                            <a:srgbClr val="42719B"/>
                          </a:solidFill>
                          <a:prstDash val="solid"/>
                          <a:miter lim="800000"/>
                          <a:headEnd type="none" w="sm" len="sm"/>
                          <a:tailEnd type="none" w="sm" len="sm"/>
                        </a:ln>
                      </wps:spPr>
                      <wps:txbx>
                        <w:txbxContent>
                          <w:p w14:paraId="121E6256" w14:textId="77777777" w:rsidR="006E084B" w:rsidRDefault="006E084B" w:rsidP="006E084B">
                            <w:pPr>
                              <w:spacing w:line="275" w:lineRule="auto"/>
                              <w:textDirection w:val="btLr"/>
                            </w:pPr>
                            <w:r>
                              <w:rPr>
                                <w:rFonts w:ascii="Tahoma" w:eastAsia="Tahoma" w:hAnsi="Tahoma" w:cs="Tahoma"/>
                                <w:b/>
                                <w:i/>
                                <w:color w:val="843C0B"/>
                                <w:sz w:val="24"/>
                              </w:rPr>
                              <w:t>RESEARCH ARTICLE</w:t>
                            </w:r>
                            <w:r>
                              <w:rPr>
                                <w:rFonts w:ascii="Tahoma" w:eastAsia="Tahoma" w:hAnsi="Tahoma" w:cs="Tahoma"/>
                                <w:b/>
                                <w:i/>
                                <w:color w:val="843C0B"/>
                                <w:sz w:val="28"/>
                              </w:rPr>
                              <w:t xml:space="preserve">                                                              Open Access</w:t>
                            </w:r>
                          </w:p>
                        </w:txbxContent>
                      </wps:txbx>
                      <wps:bodyPr spcFirstLastPara="1" wrap="square" lIns="91425" tIns="45700" rIns="91425" bIns="45700" anchor="ctr" anchorCtr="0">
                        <a:noAutofit/>
                      </wps:bodyPr>
                    </wps:wsp>
                  </a:graphicData>
                </a:graphic>
              </wp:anchor>
            </w:drawing>
          </mc:Choice>
          <mc:Fallback>
            <w:pict>
              <v:roundrect w14:anchorId="313F2932" id="Rectangle: Rounded Corners 5" o:spid="_x0000_s1026" style="position:absolute;margin-left:0;margin-top:-21pt;width:483.25pt;height:34.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QRHRwIAAH8EAAAOAAAAZHJzL2Uyb0RvYy54bWysVNtu2zAMfR+wfxD0vjh2EicN6hRr0wwD&#10;iq5Ytw9gJDnWoNsk5fb3oxSvSbcBA4b5QSYt6ujwkPT1zUErshM+SGsaWg6GlAjDLJdm09CvX1bv&#10;ZpSECIaDskY09CgCvVm8fXO9d3NR2c4qLjxBEBPme9fQLkY3L4rAOqEhDKwTBjdb6zVEdP2m4B72&#10;iK5VUQ2HdbG3njtvmQgBvy5Pm3SR8dtWsPipbYOIRDUUucW8+ryu01osrmG+8eA6yXoa8A8sNEiD&#10;l75ALSEC2Xr5G5SWzNtg2zhgVhe2bSUTOQfMphz+ks1zB07kXFCc4F5kCv8Plj3unt2TRxn2LswD&#10;mimLQ+t1eiM/cmhoVc1G03JEybGho0k9qWezk3DiEAnDgLqsxpPphBKGEeNqVleTFFCckZwP8YOw&#10;miSjod5uDf+M1cmiwe4hxKweJwY0tgnwb5S0WmEtdqBIWdf1tEfsgxH7J2Y6GaySfCWVyo7frO+U&#10;J3i0oavb+/Fy3B9+FaYM2WPPVtMhdgYD7L5WQURTO97QYDaZ3Ksj4RJ5XE3Lq9s/ISdmSwjdiUFG&#10;SGEw1zJiuyupGzobpuf0uRPA7w0n8egweYOTQhO1oClRAucKjXw8glR/j0NplEH1zxVNVjysD32Z&#10;15YfnzwJjq0kMn2AEJ/Ao9YlXouzgBd+34JHEuqjwWa7KsdYUBKzg4VOevnLnfXlDhjWWRwxFj0l&#10;J+cu5pFLChj7fhttK2Pqj8TrRKZ3sMtz2/QTmcbo0s9R5//G4gcAAAD//wMAUEsDBBQABgAIAAAA&#10;IQDewS2h2wAAAAcBAAAPAAAAZHJzL2Rvd25yZXYueG1sTI7BToNAEIbvJr7DZky8kHaRCBbK0hiN&#10;Rw+2PsCWHYHKziK7FPTpHU/1Nn/+P9985W6xvTjj6DtHCu7WMQik2pmOGgXvh5fVBoQPmozuHaGC&#10;b/Swq66vSl0YN9MbnvehEQwhX2gFbQhDIaWvW7Tar92AxN2HG60OHMdGmlHPDLe9TOI4k1Z3xB9a&#10;PeBTi/XnfrIK4mj2ryGa8s0pT6NQJwd6/vpR6vZmedyCCLiEyxj+9FkdKnY6uomMFz0zeKdgdZ/w&#10;wXWeZSmIo4LkIQVZlfK/f/ULAAD//wMAUEsBAi0AFAAGAAgAAAAhALaDOJL+AAAA4QEAABMAAAAA&#10;AAAAAAAAAAAAAAAAAFtDb250ZW50X1R5cGVzXS54bWxQSwECLQAUAAYACAAAACEAOP0h/9YAAACU&#10;AQAACwAAAAAAAAAAAAAAAAAvAQAAX3JlbHMvLnJlbHNQSwECLQAUAAYACAAAACEA1OEER0cCAAB/&#10;BAAADgAAAAAAAAAAAAAAAAAuAgAAZHJzL2Uyb0RvYy54bWxQSwECLQAUAAYACAAAACEA3sEtodsA&#10;AAAHAQAADwAAAAAAAAAAAAAAAAChBAAAZHJzL2Rvd25yZXYueG1sUEsFBgAAAAAEAAQA8wAAAKkF&#10;AAAAAA==&#10;" fillcolor="#fbe4d4" strokecolor="#42719b" strokeweight="1pt">
                <v:stroke startarrowwidth="narrow" startarrowlength="short" endarrowwidth="narrow" endarrowlength="short" joinstyle="miter"/>
                <v:textbox inset="2.53958mm,1.2694mm,2.53958mm,1.2694mm">
                  <w:txbxContent>
                    <w:p w14:paraId="121E6256" w14:textId="77777777" w:rsidR="006E084B" w:rsidRDefault="006E084B" w:rsidP="006E084B">
                      <w:pPr>
                        <w:spacing w:line="275" w:lineRule="auto"/>
                        <w:textDirection w:val="btLr"/>
                      </w:pPr>
                      <w:r>
                        <w:rPr>
                          <w:rFonts w:ascii="Tahoma" w:eastAsia="Tahoma" w:hAnsi="Tahoma" w:cs="Tahoma"/>
                          <w:b/>
                          <w:i/>
                          <w:color w:val="843C0B"/>
                          <w:sz w:val="24"/>
                        </w:rPr>
                        <w:t>RESEARCH ARTICLE</w:t>
                      </w:r>
                      <w:r>
                        <w:rPr>
                          <w:rFonts w:ascii="Tahoma" w:eastAsia="Tahoma" w:hAnsi="Tahoma" w:cs="Tahoma"/>
                          <w:b/>
                          <w:i/>
                          <w:color w:val="843C0B"/>
                          <w:sz w:val="28"/>
                        </w:rPr>
                        <w:t xml:space="preserve">                                                              Open Access</w:t>
                      </w:r>
                    </w:p>
                  </w:txbxContent>
                </v:textbox>
              </v:roundrect>
            </w:pict>
          </mc:Fallback>
        </mc:AlternateContent>
      </w:r>
    </w:p>
    <w:p w14:paraId="3087FDC8" w14:textId="77777777" w:rsidR="006E084B" w:rsidRPr="002B66F8" w:rsidRDefault="006E084B" w:rsidP="006E084B">
      <w:pPr>
        <w:widowControl w:val="0"/>
        <w:pBdr>
          <w:top w:val="nil"/>
          <w:left w:val="nil"/>
          <w:bottom w:val="nil"/>
          <w:right w:val="nil"/>
          <w:between w:val="nil"/>
        </w:pBdr>
        <w:spacing w:after="0" w:line="240" w:lineRule="auto"/>
        <w:rPr>
          <w:rFonts w:ascii="Times New Roman" w:eastAsia="Times New Roman" w:hAnsi="Times New Roman" w:cs="Times New Roman"/>
          <w:iCs/>
          <w:noProof/>
          <w:color w:val="843C0B"/>
          <w:sz w:val="36"/>
          <w:szCs w:val="36"/>
        </w:rPr>
      </w:pPr>
      <w:r w:rsidRPr="002B66F8">
        <w:rPr>
          <w:rFonts w:ascii="Times New Roman" w:eastAsia="Times New Roman" w:hAnsi="Times New Roman" w:cs="Times New Roman"/>
          <w:iCs/>
          <w:noProof/>
          <w:color w:val="843C0B"/>
          <w:sz w:val="36"/>
          <w:szCs w:val="36"/>
        </w:rPr>
        <w:t>Gema Lingkungan Kesehatan</w:t>
      </w:r>
    </w:p>
    <w:p w14:paraId="6C1FAE61" w14:textId="08DC22B4" w:rsidR="006E084B" w:rsidRPr="002B66F8" w:rsidRDefault="006E084B" w:rsidP="006E084B">
      <w:pPr>
        <w:widowControl w:val="0"/>
        <w:pBdr>
          <w:top w:val="nil"/>
          <w:left w:val="nil"/>
          <w:bottom w:val="nil"/>
          <w:right w:val="nil"/>
          <w:between w:val="nil"/>
        </w:pBdr>
        <w:spacing w:after="0" w:line="240" w:lineRule="auto"/>
        <w:rPr>
          <w:rFonts w:ascii="Times New Roman" w:eastAsia="Times New Roman" w:hAnsi="Times New Roman" w:cs="Times New Roman"/>
          <w:iCs/>
          <w:noProof/>
          <w:color w:val="843C0B"/>
          <w:sz w:val="24"/>
          <w:szCs w:val="24"/>
        </w:rPr>
      </w:pPr>
      <w:r w:rsidRPr="002B66F8">
        <w:rPr>
          <w:rFonts w:ascii="Times New Roman" w:eastAsia="Times New Roman" w:hAnsi="Times New Roman" w:cs="Times New Roman"/>
          <w:iCs/>
          <w:noProof/>
          <w:color w:val="843C0B"/>
          <w:sz w:val="24"/>
          <w:szCs w:val="24"/>
        </w:rPr>
        <w:t xml:space="preserve">Vol. </w:t>
      </w:r>
      <w:r w:rsidR="00737BE8">
        <w:rPr>
          <w:rFonts w:ascii="Times New Roman" w:eastAsia="Times New Roman" w:hAnsi="Times New Roman" w:cs="Times New Roman"/>
          <w:iCs/>
          <w:noProof/>
          <w:color w:val="843C0B"/>
          <w:sz w:val="24"/>
          <w:szCs w:val="24"/>
        </w:rPr>
        <w:t>22</w:t>
      </w:r>
      <w:r w:rsidRPr="002B66F8">
        <w:rPr>
          <w:rFonts w:ascii="Times New Roman" w:eastAsia="Times New Roman" w:hAnsi="Times New Roman" w:cs="Times New Roman"/>
          <w:iCs/>
          <w:noProof/>
          <w:color w:val="843C0B"/>
          <w:sz w:val="24"/>
          <w:szCs w:val="24"/>
        </w:rPr>
        <w:t xml:space="preserve">, No. </w:t>
      </w:r>
      <w:r w:rsidR="00737BE8">
        <w:rPr>
          <w:rFonts w:ascii="Times New Roman" w:eastAsia="Times New Roman" w:hAnsi="Times New Roman" w:cs="Times New Roman"/>
          <w:iCs/>
          <w:noProof/>
          <w:color w:val="843C0B"/>
          <w:sz w:val="24"/>
          <w:szCs w:val="24"/>
        </w:rPr>
        <w:t>2</w:t>
      </w:r>
      <w:r w:rsidRPr="002B66F8">
        <w:rPr>
          <w:rFonts w:ascii="Times New Roman" w:eastAsia="Times New Roman" w:hAnsi="Times New Roman" w:cs="Times New Roman"/>
          <w:iCs/>
          <w:noProof/>
          <w:color w:val="843C0B"/>
          <w:sz w:val="24"/>
          <w:szCs w:val="24"/>
        </w:rPr>
        <w:t xml:space="preserve"> </w:t>
      </w:r>
      <w:r w:rsidR="00737BE8">
        <w:rPr>
          <w:rFonts w:ascii="Times New Roman" w:eastAsia="Times New Roman" w:hAnsi="Times New Roman" w:cs="Times New Roman"/>
          <w:iCs/>
          <w:noProof/>
          <w:color w:val="843C0B"/>
          <w:sz w:val="24"/>
          <w:szCs w:val="24"/>
        </w:rPr>
        <w:t>(</w:t>
      </w:r>
      <w:r w:rsidRPr="002B66F8">
        <w:rPr>
          <w:rFonts w:ascii="Times New Roman" w:eastAsia="Times New Roman" w:hAnsi="Times New Roman" w:cs="Times New Roman"/>
          <w:iCs/>
          <w:noProof/>
          <w:color w:val="843C0B"/>
          <w:sz w:val="24"/>
          <w:szCs w:val="24"/>
        </w:rPr>
        <w:t>202</w:t>
      </w:r>
      <w:r w:rsidR="00737BE8">
        <w:rPr>
          <w:rFonts w:ascii="Times New Roman" w:eastAsia="Times New Roman" w:hAnsi="Times New Roman" w:cs="Times New Roman"/>
          <w:iCs/>
          <w:noProof/>
          <w:color w:val="843C0B"/>
          <w:sz w:val="24"/>
          <w:szCs w:val="24"/>
        </w:rPr>
        <w:t>4)</w:t>
      </w:r>
      <w:r w:rsidRPr="002B66F8">
        <w:rPr>
          <w:rFonts w:ascii="Times New Roman" w:eastAsia="Times New Roman" w:hAnsi="Times New Roman" w:cs="Times New Roman"/>
          <w:iCs/>
          <w:noProof/>
          <w:color w:val="843C0B"/>
          <w:sz w:val="24"/>
          <w:szCs w:val="24"/>
        </w:rPr>
        <w:t xml:space="preserve"> pp </w:t>
      </w:r>
      <w:r w:rsidR="005C7F0F">
        <w:rPr>
          <w:rFonts w:ascii="Times New Roman" w:eastAsia="Times New Roman" w:hAnsi="Times New Roman" w:cs="Times New Roman"/>
          <w:iCs/>
          <w:noProof/>
          <w:color w:val="843C0B"/>
          <w:sz w:val="24"/>
          <w:szCs w:val="24"/>
        </w:rPr>
        <w:t>108</w:t>
      </w:r>
      <w:r w:rsidRPr="002B66F8">
        <w:rPr>
          <w:rFonts w:ascii="Times New Roman" w:eastAsia="Times New Roman" w:hAnsi="Times New Roman" w:cs="Times New Roman"/>
          <w:iCs/>
          <w:noProof/>
          <w:color w:val="843C0B"/>
          <w:sz w:val="24"/>
          <w:szCs w:val="24"/>
        </w:rPr>
        <w:t>-</w:t>
      </w:r>
      <w:r w:rsidR="005C7F0F">
        <w:rPr>
          <w:rFonts w:ascii="Times New Roman" w:eastAsia="Times New Roman" w:hAnsi="Times New Roman" w:cs="Times New Roman"/>
          <w:iCs/>
          <w:noProof/>
          <w:color w:val="843C0B"/>
          <w:sz w:val="24"/>
          <w:szCs w:val="24"/>
        </w:rPr>
        <w:t>113</w:t>
      </w:r>
    </w:p>
    <w:p w14:paraId="1671BF72" w14:textId="77777777" w:rsidR="006E084B" w:rsidRPr="002B66F8" w:rsidRDefault="006E084B" w:rsidP="006E084B">
      <w:pPr>
        <w:widowControl w:val="0"/>
        <w:pBdr>
          <w:top w:val="nil"/>
          <w:left w:val="nil"/>
          <w:bottom w:val="single" w:sz="8" w:space="1" w:color="C55911"/>
          <w:right w:val="nil"/>
          <w:between w:val="nil"/>
        </w:pBdr>
        <w:spacing w:after="0" w:line="240" w:lineRule="auto"/>
        <w:rPr>
          <w:rFonts w:ascii="Times New Roman" w:eastAsia="Times New Roman" w:hAnsi="Times New Roman" w:cs="Times New Roman"/>
          <w:iCs/>
          <w:noProof/>
          <w:color w:val="843C0B"/>
          <w:sz w:val="24"/>
          <w:szCs w:val="24"/>
        </w:rPr>
      </w:pPr>
      <w:r w:rsidRPr="002B66F8">
        <w:rPr>
          <w:rFonts w:ascii="Times New Roman" w:eastAsia="Times New Roman" w:hAnsi="Times New Roman" w:cs="Times New Roman"/>
          <w:iCs/>
          <w:noProof/>
          <w:color w:val="843C0B"/>
          <w:sz w:val="24"/>
          <w:szCs w:val="24"/>
        </w:rPr>
        <w:t xml:space="preserve">e-ISSN 2407-8948 p-ISSN 16933761  </w:t>
      </w:r>
    </w:p>
    <w:p w14:paraId="24CA23CD" w14:textId="75EB12F7" w:rsidR="006E084B" w:rsidRPr="002B66F8" w:rsidRDefault="006E084B" w:rsidP="006E084B">
      <w:pPr>
        <w:widowControl w:val="0"/>
        <w:pBdr>
          <w:top w:val="nil"/>
          <w:left w:val="nil"/>
          <w:bottom w:val="single" w:sz="8" w:space="1" w:color="C55911"/>
          <w:right w:val="nil"/>
          <w:between w:val="nil"/>
        </w:pBdr>
        <w:spacing w:after="0" w:line="240" w:lineRule="auto"/>
        <w:rPr>
          <w:rFonts w:ascii="Times New Roman" w:eastAsia="Times New Roman" w:hAnsi="Times New Roman" w:cs="Times New Roman"/>
          <w:iCs/>
          <w:noProof/>
          <w:color w:val="843C0B"/>
          <w:sz w:val="20"/>
          <w:szCs w:val="20"/>
        </w:rPr>
      </w:pPr>
      <w:r w:rsidRPr="002B66F8">
        <w:rPr>
          <w:rFonts w:ascii="Times New Roman"/>
          <w:iCs/>
          <w:noProof/>
          <w:color w:val="843A09"/>
        </w:rPr>
        <w:t>Doi:</w:t>
      </w:r>
      <w:r w:rsidRPr="002B66F8">
        <w:rPr>
          <w:rFonts w:ascii="Times New Roman"/>
          <w:i/>
          <w:noProof/>
          <w:color w:val="843A09"/>
          <w:sz w:val="24"/>
        </w:rPr>
        <w:t xml:space="preserve"> </w:t>
      </w:r>
      <w:hyperlink r:id="rId9" w:history="1">
        <w:r w:rsidRPr="005C7F0F">
          <w:rPr>
            <w:rStyle w:val="Hyperlink"/>
            <w:rFonts w:ascii="Times New Roman"/>
            <w:iCs/>
            <w:noProof/>
            <w:sz w:val="20"/>
            <w:szCs w:val="20"/>
          </w:rPr>
          <w:t>https://doi.org/10.36568/gelinkes.v22i1.</w:t>
        </w:r>
        <w:r w:rsidR="005C7F0F" w:rsidRPr="005C7F0F">
          <w:rPr>
            <w:rStyle w:val="Hyperlink"/>
            <w:rFonts w:ascii="Times New Roman"/>
            <w:iCs/>
            <w:noProof/>
            <w:sz w:val="20"/>
            <w:szCs w:val="20"/>
          </w:rPr>
          <w:t>166</w:t>
        </w:r>
      </w:hyperlink>
      <w:r w:rsidRPr="002B66F8">
        <w:rPr>
          <w:rFonts w:ascii="Times New Roman"/>
          <w:i/>
          <w:noProof/>
          <w:color w:val="843A09"/>
          <w:sz w:val="24"/>
        </w:rPr>
        <w:t xml:space="preserve">           </w:t>
      </w:r>
      <w:r w:rsidRPr="002B66F8">
        <w:rPr>
          <w:rFonts w:ascii="Times New Roman" w:eastAsia="Times New Roman" w:hAnsi="Times New Roman" w:cs="Times New Roman"/>
          <w:i/>
          <w:noProof/>
          <w:color w:val="000000"/>
          <w:sz w:val="20"/>
          <w:szCs w:val="20"/>
        </w:rPr>
        <w:t>Journal Hompage:</w:t>
      </w:r>
      <w:r w:rsidRPr="002B66F8">
        <w:rPr>
          <w:rFonts w:ascii="Times New Roman" w:eastAsia="Times New Roman" w:hAnsi="Times New Roman" w:cs="Times New Roman"/>
          <w:i/>
          <w:noProof/>
          <w:color w:val="843C0B"/>
          <w:sz w:val="20"/>
          <w:szCs w:val="20"/>
        </w:rPr>
        <w:t xml:space="preserve"> </w:t>
      </w:r>
      <w:hyperlink r:id="rId10" w:history="1">
        <w:r w:rsidRPr="005C7F0F">
          <w:rPr>
            <w:rStyle w:val="Hyperlink"/>
            <w:rFonts w:ascii="Times New Roman" w:eastAsia="Times New Roman" w:hAnsi="Times New Roman" w:cs="Times New Roman"/>
            <w:i/>
            <w:noProof/>
            <w:sz w:val="20"/>
            <w:szCs w:val="20"/>
          </w:rPr>
          <w:t>https://gelinkes.poltekkesdepkes-sby.ac.id/</w:t>
        </w:r>
      </w:hyperlink>
    </w:p>
    <w:p w14:paraId="79CC2977" w14:textId="77777777" w:rsidR="006E084B" w:rsidRPr="002B66F8" w:rsidRDefault="006E084B" w:rsidP="00EB2E90">
      <w:pPr>
        <w:spacing w:before="120" w:after="0" w:line="240" w:lineRule="auto"/>
        <w:jc w:val="center"/>
        <w:rPr>
          <w:rFonts w:ascii="Tahoma" w:eastAsia="Tahoma" w:hAnsi="Tahoma" w:cs="Tahoma"/>
          <w:noProof/>
          <w:color w:val="4472C4"/>
          <w:sz w:val="32"/>
          <w:szCs w:val="32"/>
        </w:rPr>
      </w:pPr>
      <w:r w:rsidRPr="002B66F8">
        <w:rPr>
          <w:rFonts w:ascii="Tahoma" w:eastAsia="Tahoma" w:hAnsi="Tahoma" w:cs="Tahoma"/>
          <w:noProof/>
          <w:color w:val="4472C4"/>
          <w:sz w:val="32"/>
          <w:szCs w:val="32"/>
        </w:rPr>
        <w:t xml:space="preserve">Analysis of Health Disparities Among Different Socioeconomic Groups in Indonesia: Implications for Health Policy </w:t>
      </w:r>
    </w:p>
    <w:p w14:paraId="3A194644" w14:textId="77777777" w:rsidR="00DD6E8D" w:rsidRPr="00DD6E8D" w:rsidRDefault="00DD6E8D" w:rsidP="006E084B">
      <w:pPr>
        <w:spacing w:after="0" w:line="240" w:lineRule="auto"/>
        <w:jc w:val="center"/>
        <w:rPr>
          <w:rFonts w:ascii="Tahoma" w:eastAsia="Tahoma" w:hAnsi="Tahoma" w:cs="Tahoma"/>
          <w:noProof/>
          <w:color w:val="000000"/>
          <w:sz w:val="16"/>
          <w:szCs w:val="16"/>
        </w:rPr>
      </w:pPr>
    </w:p>
    <w:p w14:paraId="285FAAB3" w14:textId="601FD4FC" w:rsidR="006E084B" w:rsidRPr="00EB2E90" w:rsidRDefault="006E084B" w:rsidP="006E084B">
      <w:pPr>
        <w:spacing w:after="0" w:line="240" w:lineRule="auto"/>
        <w:jc w:val="center"/>
        <w:rPr>
          <w:rFonts w:ascii="Tahoma" w:eastAsia="Tahoma" w:hAnsi="Tahoma" w:cs="Tahoma"/>
          <w:noProof/>
          <w:color w:val="000000"/>
          <w:sz w:val="20"/>
          <w:szCs w:val="20"/>
          <w:vertAlign w:val="superscript"/>
        </w:rPr>
      </w:pPr>
      <w:r w:rsidRPr="002B66F8">
        <w:rPr>
          <w:rFonts w:ascii="Tahoma" w:eastAsia="Tahoma" w:hAnsi="Tahoma" w:cs="Tahoma"/>
          <w:noProof/>
          <w:color w:val="000000"/>
          <w:sz w:val="20"/>
          <w:szCs w:val="20"/>
        </w:rPr>
        <w:t>Daniel Ginting</w:t>
      </w:r>
      <w:r w:rsidR="00EB2E90">
        <w:rPr>
          <w:rFonts w:ascii="Tahoma" w:eastAsia="Tahoma" w:hAnsi="Tahoma" w:cs="Tahoma"/>
          <w:noProof/>
          <w:color w:val="000000"/>
          <w:sz w:val="20"/>
          <w:szCs w:val="20"/>
          <w:vertAlign w:val="superscript"/>
        </w:rPr>
        <w:t>1</w:t>
      </w:r>
      <w:r w:rsidRPr="002B66F8">
        <w:rPr>
          <w:rFonts w:ascii="Tahoma" w:eastAsia="Tahoma" w:hAnsi="Tahoma" w:cs="Tahoma"/>
          <w:noProof/>
          <w:color w:val="000000"/>
          <w:sz w:val="20"/>
          <w:szCs w:val="20"/>
        </w:rPr>
        <w:t>*, Suharto</w:t>
      </w:r>
      <w:r w:rsidR="00EB2E90">
        <w:rPr>
          <w:rFonts w:ascii="Tahoma" w:eastAsia="Tahoma" w:hAnsi="Tahoma" w:cs="Tahoma"/>
          <w:noProof/>
          <w:color w:val="000000"/>
          <w:sz w:val="20"/>
          <w:szCs w:val="20"/>
          <w:vertAlign w:val="superscript"/>
        </w:rPr>
        <w:t>2</w:t>
      </w:r>
      <w:r w:rsidRPr="002B66F8">
        <w:rPr>
          <w:rFonts w:ascii="Tahoma" w:eastAsia="Tahoma" w:hAnsi="Tahoma" w:cs="Tahoma"/>
          <w:noProof/>
          <w:color w:val="000000"/>
          <w:sz w:val="20"/>
          <w:szCs w:val="20"/>
        </w:rPr>
        <w:t>, Nina Fentiana</w:t>
      </w:r>
      <w:r w:rsidR="00EB2E90">
        <w:rPr>
          <w:rFonts w:ascii="Tahoma" w:eastAsia="Tahoma" w:hAnsi="Tahoma" w:cs="Tahoma"/>
          <w:noProof/>
          <w:color w:val="000000"/>
          <w:sz w:val="20"/>
          <w:szCs w:val="20"/>
          <w:vertAlign w:val="superscript"/>
        </w:rPr>
        <w:t>2</w:t>
      </w:r>
    </w:p>
    <w:p w14:paraId="7924613A" w14:textId="77777777" w:rsidR="006E084B" w:rsidRPr="00DD6E8D" w:rsidRDefault="006E084B" w:rsidP="006E084B">
      <w:pPr>
        <w:spacing w:after="0" w:line="240" w:lineRule="auto"/>
        <w:jc w:val="center"/>
        <w:rPr>
          <w:rFonts w:ascii="Times New Roman" w:eastAsia="Times New Roman" w:hAnsi="Times New Roman" w:cs="Times New Roman"/>
          <w:noProof/>
          <w:color w:val="000000"/>
          <w:sz w:val="16"/>
          <w:szCs w:val="16"/>
        </w:rPr>
      </w:pPr>
    </w:p>
    <w:p w14:paraId="03B2E3DD" w14:textId="0670DEE9" w:rsidR="006E084B" w:rsidRPr="002B66F8" w:rsidRDefault="00EB2E90" w:rsidP="006E084B">
      <w:pPr>
        <w:spacing w:after="0" w:line="240" w:lineRule="auto"/>
        <w:jc w:val="center"/>
        <w:rPr>
          <w:rFonts w:ascii="Times New Roman" w:eastAsia="Times New Roman" w:hAnsi="Times New Roman" w:cs="Times New Roman"/>
          <w:noProof/>
          <w:color w:val="000000"/>
          <w:sz w:val="24"/>
          <w:szCs w:val="24"/>
        </w:rPr>
      </w:pPr>
      <w:r>
        <w:rPr>
          <w:rFonts w:ascii="Tahoma" w:eastAsia="Tahoma" w:hAnsi="Tahoma" w:cs="Tahoma"/>
          <w:noProof/>
          <w:color w:val="000000"/>
          <w:sz w:val="20"/>
          <w:szCs w:val="20"/>
          <w:vertAlign w:val="superscript"/>
        </w:rPr>
        <w:t xml:space="preserve">1 </w:t>
      </w:r>
      <w:r w:rsidR="006E084B" w:rsidRPr="002B66F8">
        <w:rPr>
          <w:rFonts w:ascii="Tahoma" w:eastAsia="Tahoma" w:hAnsi="Tahoma" w:cs="Tahoma"/>
          <w:noProof/>
          <w:color w:val="000000"/>
          <w:sz w:val="20"/>
          <w:szCs w:val="20"/>
        </w:rPr>
        <w:t>Universitas Sari Mutiara Indonesia</w:t>
      </w:r>
      <w:r w:rsidR="005C7F0F">
        <w:rPr>
          <w:rFonts w:ascii="Tahoma" w:eastAsia="Tahoma" w:hAnsi="Tahoma" w:cs="Tahoma"/>
          <w:noProof/>
          <w:color w:val="000000"/>
          <w:sz w:val="20"/>
          <w:szCs w:val="20"/>
        </w:rPr>
        <w:t>, Medan, Indonesia</w:t>
      </w:r>
    </w:p>
    <w:p w14:paraId="00DC3715" w14:textId="5FECE862" w:rsidR="006E084B" w:rsidRPr="002B66F8" w:rsidRDefault="00EB2E90" w:rsidP="006E084B">
      <w:pPr>
        <w:spacing w:after="0" w:line="240" w:lineRule="auto"/>
        <w:jc w:val="center"/>
        <w:rPr>
          <w:rFonts w:ascii="Times New Roman" w:eastAsia="Times New Roman" w:hAnsi="Times New Roman" w:cs="Times New Roman"/>
          <w:noProof/>
          <w:color w:val="000000"/>
          <w:sz w:val="24"/>
          <w:szCs w:val="24"/>
        </w:rPr>
      </w:pPr>
      <w:r w:rsidRPr="00EB2E90">
        <w:rPr>
          <w:rFonts w:ascii="Tahoma" w:eastAsia="Tahoma" w:hAnsi="Tahoma" w:cs="Tahoma"/>
          <w:noProof/>
          <w:color w:val="000000"/>
          <w:sz w:val="20"/>
          <w:szCs w:val="20"/>
          <w:vertAlign w:val="superscript"/>
        </w:rPr>
        <w:t>2</w:t>
      </w:r>
      <w:r>
        <w:rPr>
          <w:rFonts w:ascii="Tahoma" w:eastAsia="Tahoma" w:hAnsi="Tahoma" w:cs="Tahoma"/>
          <w:noProof/>
          <w:color w:val="000000"/>
          <w:sz w:val="20"/>
          <w:szCs w:val="20"/>
          <w:vertAlign w:val="superscript"/>
        </w:rPr>
        <w:t xml:space="preserve"> </w:t>
      </w:r>
      <w:r w:rsidR="006E084B" w:rsidRPr="002B66F8">
        <w:rPr>
          <w:rFonts w:ascii="Tahoma" w:eastAsia="Tahoma" w:hAnsi="Tahoma" w:cs="Tahoma"/>
          <w:noProof/>
          <w:color w:val="000000"/>
          <w:sz w:val="20"/>
          <w:szCs w:val="20"/>
        </w:rPr>
        <w:t>Akademi Keperawatan Kesdam I</w:t>
      </w:r>
      <w:r w:rsidR="005C7F0F">
        <w:rPr>
          <w:rFonts w:ascii="Tahoma" w:eastAsia="Tahoma" w:hAnsi="Tahoma" w:cs="Tahoma"/>
          <w:noProof/>
          <w:color w:val="000000"/>
          <w:sz w:val="20"/>
          <w:szCs w:val="20"/>
        </w:rPr>
        <w:t>, Medan, Indonesia</w:t>
      </w:r>
    </w:p>
    <w:p w14:paraId="1B39D109" w14:textId="77777777" w:rsidR="006E084B" w:rsidRPr="002B66F8" w:rsidRDefault="006E084B" w:rsidP="006E084B">
      <w:pPr>
        <w:pStyle w:val="BodyText"/>
        <w:ind w:left="109" w:right="240"/>
        <w:jc w:val="center"/>
        <w:rPr>
          <w:rFonts w:ascii="Tahoma" w:hAnsi="Tahoma" w:cs="Tahoma"/>
          <w:noProof/>
          <w:sz w:val="16"/>
          <w:szCs w:val="16"/>
          <w:lang w:val="en-ID"/>
        </w:rPr>
      </w:pPr>
    </w:p>
    <w:p w14:paraId="141506C9" w14:textId="51CD2EA6" w:rsidR="006E084B" w:rsidRDefault="006E084B" w:rsidP="006E084B">
      <w:pPr>
        <w:pStyle w:val="BodyText"/>
        <w:ind w:right="124"/>
        <w:jc w:val="center"/>
        <w:rPr>
          <w:rFonts w:ascii="Tahoma" w:eastAsia="Tahoma" w:hAnsi="Tahoma" w:cs="Tahoma"/>
          <w:noProof/>
          <w:color w:val="000000"/>
          <w:sz w:val="20"/>
          <w:szCs w:val="20"/>
          <w:lang w:val="en-ID"/>
        </w:rPr>
      </w:pPr>
      <w:r w:rsidRPr="002B66F8">
        <w:rPr>
          <w:rFonts w:ascii="Tahoma" w:hAnsi="Tahoma" w:cs="Tahoma"/>
          <w:noProof/>
          <w:sz w:val="20"/>
          <w:szCs w:val="20"/>
          <w:lang w:val="en-ID"/>
        </w:rPr>
        <w:t>*Correspondence:</w:t>
      </w:r>
      <w:r w:rsidRPr="002B66F8">
        <w:rPr>
          <w:rFonts w:ascii="Tahoma" w:hAnsi="Tahoma" w:cs="Tahoma"/>
          <w:noProof/>
          <w:spacing w:val="-11"/>
          <w:sz w:val="20"/>
          <w:szCs w:val="20"/>
          <w:lang w:val="en-ID"/>
        </w:rPr>
        <w:t xml:space="preserve"> </w:t>
      </w:r>
      <w:hyperlink r:id="rId11" w:history="1">
        <w:r w:rsidR="00EB2E90" w:rsidRPr="003C392C">
          <w:rPr>
            <w:rStyle w:val="Hyperlink"/>
            <w:rFonts w:ascii="Tahoma" w:eastAsia="Tahoma" w:hAnsi="Tahoma" w:cs="Tahoma"/>
            <w:noProof/>
            <w:sz w:val="20"/>
            <w:szCs w:val="20"/>
            <w:lang w:val="en-ID"/>
          </w:rPr>
          <w:t>dginting60@gmail.com</w:t>
        </w:r>
      </w:hyperlink>
    </w:p>
    <w:p w14:paraId="05B21B10" w14:textId="77777777" w:rsidR="006E084B" w:rsidRPr="002B66F8" w:rsidRDefault="006E084B" w:rsidP="006E084B">
      <w:pPr>
        <w:spacing w:after="0" w:line="240" w:lineRule="auto"/>
        <w:jc w:val="center"/>
        <w:rPr>
          <w:rFonts w:ascii="Tahoma" w:eastAsia="Tahoma" w:hAnsi="Tahoma" w:cs="Tahoma"/>
          <w:b/>
          <w:noProof/>
          <w:sz w:val="20"/>
          <w:szCs w:val="20"/>
        </w:rPr>
      </w:pPr>
    </w:p>
    <w:tbl>
      <w:tblPr>
        <w:tblStyle w:val="TableGrid"/>
        <w:tblW w:w="0" w:type="auto"/>
        <w:tblLook w:val="04A0" w:firstRow="1" w:lastRow="0" w:firstColumn="1" w:lastColumn="0" w:noHBand="0" w:noVBand="1"/>
      </w:tblPr>
      <w:tblGrid>
        <w:gridCol w:w="9628"/>
      </w:tblGrid>
      <w:tr w:rsidR="006E084B" w:rsidRPr="002B66F8" w14:paraId="3272C4D9" w14:textId="77777777" w:rsidTr="00D6584B">
        <w:tc>
          <w:tcPr>
            <w:tcW w:w="9628" w:type="dxa"/>
            <w:tcBorders>
              <w:top w:val="nil"/>
              <w:left w:val="nil"/>
              <w:bottom w:val="single" w:sz="4" w:space="0" w:color="000000"/>
              <w:right w:val="nil"/>
            </w:tcBorders>
          </w:tcPr>
          <w:p w14:paraId="1CC4DBF7" w14:textId="77777777" w:rsidR="006E084B" w:rsidRPr="002B66F8" w:rsidRDefault="006E084B" w:rsidP="00DD6E8D">
            <w:pPr>
              <w:spacing w:after="0"/>
              <w:jc w:val="center"/>
              <w:rPr>
                <w:rFonts w:ascii="Tahoma" w:eastAsia="Tahoma" w:hAnsi="Tahoma" w:cs="Tahoma"/>
                <w:noProof/>
                <w:sz w:val="20"/>
                <w:szCs w:val="20"/>
                <w:lang w:val="en-ID"/>
              </w:rPr>
            </w:pPr>
            <w:r w:rsidRPr="002B66F8">
              <w:rPr>
                <w:rFonts w:ascii="Tahoma" w:eastAsia="Tahoma" w:hAnsi="Tahoma" w:cs="Tahoma"/>
                <w:b/>
                <w:noProof/>
                <w:sz w:val="20"/>
                <w:szCs w:val="20"/>
                <w:lang w:val="en-ID"/>
              </w:rPr>
              <w:t>ABSTRACT</w:t>
            </w:r>
          </w:p>
          <w:p w14:paraId="473755D4" w14:textId="77777777" w:rsidR="006E084B" w:rsidRDefault="006E084B" w:rsidP="00DD6E8D">
            <w:pPr>
              <w:spacing w:after="0" w:line="240" w:lineRule="auto"/>
              <w:jc w:val="both"/>
              <w:rPr>
                <w:rFonts w:ascii="Tahoma" w:eastAsia="Tahoma" w:hAnsi="Tahoma" w:cs="Tahoma"/>
                <w:noProof/>
                <w:color w:val="000000"/>
                <w:sz w:val="20"/>
                <w:szCs w:val="20"/>
                <w:lang w:val="en-ID"/>
              </w:rPr>
            </w:pPr>
            <w:r w:rsidRPr="002B66F8">
              <w:rPr>
                <w:rFonts w:ascii="Tahoma" w:eastAsia="Tahoma" w:hAnsi="Tahoma" w:cs="Tahoma"/>
                <w:noProof/>
                <w:color w:val="000000"/>
                <w:sz w:val="20"/>
                <w:szCs w:val="20"/>
                <w:lang w:val="en-ID"/>
              </w:rPr>
              <w:t xml:space="preserve">The unequal distribution of economic resources can result in disparities in access to health services, particularly in lower-income communities where the lack of resources may limit the ability to obtain services that meet their specific needs. As is often the case in communities with lower economic status, individuals tend to prefer traditional medicine, facilitated by village shamans, over seeking care at nearby health facilities. In some literature, the factors contributing to the difficulty of accessing healthcare in communities with low economic status are attributed to two primary factors: internal factors and external factors. This lack of agency on the part of the community then gives rise to a middle ground in the form of a national health insurance program, commonly referred to as BPJS, which is accessible to people from a range of economic backgrounds. </w:t>
            </w:r>
            <w:r w:rsidRPr="002B66F8">
              <w:rPr>
                <w:rFonts w:ascii="Tahoma" w:eastAsia="Tahoma" w:hAnsi="Tahoma" w:cs="Tahoma"/>
                <w:noProof/>
                <w:color w:val="000000"/>
                <w:sz w:val="20"/>
                <w:szCs w:val="20"/>
              </w:rPr>
              <w:t>This study employs the descriptive qualitative research method, which involves a systematic and comprehensive examination of a given phenomenon or subject matter, with the objective of providing a detailed account of that phenomenon or subject matter in a way that is both accurate and insightful</w:t>
            </w:r>
            <w:r w:rsidRPr="002B66F8">
              <w:rPr>
                <w:rFonts w:ascii="Tahoma" w:eastAsia="Tahoma" w:hAnsi="Tahoma" w:cs="Tahoma"/>
                <w:noProof/>
                <w:color w:val="000000"/>
                <w:sz w:val="20"/>
                <w:szCs w:val="20"/>
                <w:lang w:val="en-ID"/>
              </w:rPr>
              <w:t>. The findings indicate that economic status continues to exert a significant influence on the manner in which health services are provided to the Indonesian population.</w:t>
            </w:r>
          </w:p>
          <w:p w14:paraId="2BAC21FA" w14:textId="77777777" w:rsidR="00DD6E8D" w:rsidRPr="002B66F8" w:rsidRDefault="00DD6E8D" w:rsidP="00DD6E8D">
            <w:pPr>
              <w:spacing w:after="0"/>
              <w:jc w:val="both"/>
              <w:rPr>
                <w:rFonts w:ascii="Times New Roman" w:eastAsia="Times New Roman" w:hAnsi="Times New Roman" w:cs="Times New Roman"/>
                <w:noProof/>
                <w:sz w:val="24"/>
                <w:szCs w:val="24"/>
                <w:lang w:val="en-ID"/>
              </w:rPr>
            </w:pPr>
          </w:p>
          <w:p w14:paraId="49F40BBA" w14:textId="6B3D2B37" w:rsidR="006E084B" w:rsidRPr="002B66F8" w:rsidRDefault="006E084B" w:rsidP="00DD6E8D">
            <w:pPr>
              <w:spacing w:after="0"/>
              <w:jc w:val="both"/>
              <w:rPr>
                <w:rFonts w:ascii="Tahoma" w:eastAsia="Tahoma" w:hAnsi="Tahoma" w:cs="Tahoma"/>
                <w:b/>
                <w:noProof/>
                <w:sz w:val="20"/>
                <w:szCs w:val="20"/>
                <w:lang w:val="en-ID"/>
              </w:rPr>
            </w:pPr>
            <w:r w:rsidRPr="002B66F8">
              <w:rPr>
                <w:rFonts w:ascii="Tahoma" w:eastAsia="Tahoma" w:hAnsi="Tahoma" w:cs="Tahoma"/>
                <w:b/>
                <w:noProof/>
                <w:sz w:val="20"/>
                <w:szCs w:val="20"/>
                <w:lang w:val="en-ID"/>
              </w:rPr>
              <w:t>Keywords:</w:t>
            </w:r>
            <w:r w:rsidRPr="002B66F8">
              <w:rPr>
                <w:rFonts w:ascii="Tahoma" w:eastAsia="Tahoma" w:hAnsi="Tahoma" w:cs="Tahoma"/>
                <w:noProof/>
                <w:sz w:val="20"/>
                <w:szCs w:val="20"/>
                <w:lang w:val="en-ID"/>
              </w:rPr>
              <w:t xml:space="preserve">  </w:t>
            </w:r>
            <w:r w:rsidR="00813297">
              <w:rPr>
                <w:rFonts w:ascii="Tahoma" w:eastAsia="Tahoma" w:hAnsi="Tahoma" w:cs="Tahoma"/>
                <w:noProof/>
                <w:sz w:val="20"/>
                <w:szCs w:val="20"/>
                <w:lang w:val="en-ID"/>
              </w:rPr>
              <w:t>H</w:t>
            </w:r>
            <w:r w:rsidRPr="002B66F8">
              <w:rPr>
                <w:rFonts w:ascii="Tahoma" w:eastAsia="Tahoma" w:hAnsi="Tahoma" w:cs="Tahoma"/>
                <w:noProof/>
                <w:sz w:val="20"/>
                <w:szCs w:val="20"/>
                <w:lang w:val="en-ID"/>
              </w:rPr>
              <w:t xml:space="preserve">ealth, </w:t>
            </w:r>
            <w:r w:rsidR="00813297">
              <w:rPr>
                <w:rFonts w:ascii="Tahoma" w:eastAsia="Tahoma" w:hAnsi="Tahoma" w:cs="Tahoma"/>
                <w:noProof/>
                <w:sz w:val="20"/>
                <w:szCs w:val="20"/>
                <w:lang w:val="en-ID"/>
              </w:rPr>
              <w:t>D</w:t>
            </w:r>
            <w:r w:rsidRPr="002B66F8">
              <w:rPr>
                <w:rFonts w:ascii="Tahoma" w:eastAsia="Tahoma" w:hAnsi="Tahoma" w:cs="Tahoma"/>
                <w:noProof/>
                <w:sz w:val="20"/>
                <w:szCs w:val="20"/>
                <w:lang w:val="en-ID"/>
              </w:rPr>
              <w:t xml:space="preserve">isparity, </w:t>
            </w:r>
            <w:r w:rsidR="00813297">
              <w:rPr>
                <w:rFonts w:ascii="Tahoma" w:eastAsia="Tahoma" w:hAnsi="Tahoma" w:cs="Tahoma"/>
                <w:noProof/>
                <w:sz w:val="20"/>
                <w:szCs w:val="20"/>
                <w:lang w:val="en-ID"/>
              </w:rPr>
              <w:t>S</w:t>
            </w:r>
            <w:r w:rsidRPr="002B66F8">
              <w:rPr>
                <w:rFonts w:ascii="Tahoma" w:eastAsia="Tahoma" w:hAnsi="Tahoma" w:cs="Tahoma"/>
                <w:noProof/>
                <w:sz w:val="20"/>
                <w:szCs w:val="20"/>
                <w:lang w:val="en-ID"/>
              </w:rPr>
              <w:t xml:space="preserve">ocioeconomic, </w:t>
            </w:r>
            <w:r w:rsidR="00813297">
              <w:rPr>
                <w:rFonts w:ascii="Tahoma" w:eastAsia="Tahoma" w:hAnsi="Tahoma" w:cs="Tahoma"/>
                <w:noProof/>
                <w:sz w:val="20"/>
                <w:szCs w:val="20"/>
                <w:lang w:val="en-ID"/>
              </w:rPr>
              <w:t>P</w:t>
            </w:r>
            <w:r w:rsidRPr="002B66F8">
              <w:rPr>
                <w:rFonts w:ascii="Tahoma" w:eastAsia="Tahoma" w:hAnsi="Tahoma" w:cs="Tahoma"/>
                <w:noProof/>
                <w:sz w:val="20"/>
                <w:szCs w:val="20"/>
                <w:lang w:val="en-ID"/>
              </w:rPr>
              <w:t xml:space="preserve">olicy  </w:t>
            </w:r>
          </w:p>
        </w:tc>
      </w:tr>
    </w:tbl>
    <w:p w14:paraId="77F69058" w14:textId="77777777" w:rsidR="006E084B" w:rsidRPr="002B66F8" w:rsidRDefault="006E084B" w:rsidP="006E084B">
      <w:pPr>
        <w:spacing w:after="0" w:line="240" w:lineRule="auto"/>
        <w:jc w:val="center"/>
        <w:rPr>
          <w:rFonts w:ascii="Tahoma" w:eastAsia="Tahoma" w:hAnsi="Tahoma" w:cs="Tahoma"/>
          <w:b/>
          <w:noProof/>
          <w:sz w:val="20"/>
          <w:szCs w:val="20"/>
        </w:rPr>
      </w:pPr>
    </w:p>
    <w:p w14:paraId="490C862A" w14:textId="77777777" w:rsidR="006E084B" w:rsidRPr="002B66F8" w:rsidRDefault="006E084B" w:rsidP="006E084B">
      <w:pPr>
        <w:spacing w:after="0" w:line="240" w:lineRule="auto"/>
        <w:jc w:val="both"/>
        <w:rPr>
          <w:rFonts w:ascii="Tahoma" w:eastAsia="Tahoma" w:hAnsi="Tahoma" w:cs="Tahoma"/>
          <w:noProof/>
          <w:sz w:val="20"/>
          <w:szCs w:val="20"/>
        </w:rPr>
        <w:sectPr w:rsidR="006E084B" w:rsidRPr="002B66F8" w:rsidSect="006E084B">
          <w:type w:val="continuous"/>
          <w:pgSz w:w="11906" w:h="16838"/>
          <w:pgMar w:top="1134" w:right="1134" w:bottom="1134" w:left="1134" w:header="709" w:footer="709" w:gutter="0"/>
          <w:cols w:space="720"/>
        </w:sectPr>
      </w:pPr>
    </w:p>
    <w:p w14:paraId="0083DF64" w14:textId="77777777" w:rsidR="006E084B" w:rsidRPr="002B66F8" w:rsidRDefault="006E084B" w:rsidP="006E084B">
      <w:pPr>
        <w:spacing w:after="0" w:line="240" w:lineRule="auto"/>
        <w:rPr>
          <w:rFonts w:ascii="Times New Roman" w:eastAsia="Times New Roman" w:hAnsi="Times New Roman" w:cs="Times New Roman"/>
          <w:noProof/>
          <w:sz w:val="24"/>
          <w:szCs w:val="24"/>
        </w:rPr>
      </w:pPr>
      <w:r>
        <w:rPr>
          <w:rFonts w:ascii="Tahoma" w:eastAsia="Tahoma" w:hAnsi="Tahoma" w:cs="Tahoma"/>
          <w:b/>
          <w:noProof/>
          <w:color w:val="000000"/>
          <w:sz w:val="20"/>
          <w:szCs w:val="20"/>
        </w:rPr>
        <w:t>INTRODUCTION</w:t>
      </w:r>
    </w:p>
    <w:p w14:paraId="5E1DA28B" w14:textId="77777777" w:rsidR="006E084B" w:rsidRPr="002B66F8" w:rsidRDefault="006E084B" w:rsidP="006E084B">
      <w:pPr>
        <w:spacing w:after="0" w:line="240" w:lineRule="auto"/>
        <w:ind w:firstLine="426"/>
        <w:jc w:val="both"/>
        <w:rPr>
          <w:rFonts w:ascii="Tahoma" w:eastAsia="Tahoma" w:hAnsi="Tahoma" w:cs="Tahoma"/>
          <w:noProof/>
          <w:color w:val="000000"/>
          <w:sz w:val="20"/>
          <w:szCs w:val="20"/>
        </w:rPr>
      </w:pPr>
      <w:r w:rsidRPr="002B66F8">
        <w:rPr>
          <w:rFonts w:ascii="Tahoma" w:eastAsia="Tahoma" w:hAnsi="Tahoma" w:cs="Tahoma"/>
          <w:noProof/>
          <w:color w:val="000000"/>
          <w:sz w:val="20"/>
          <w:szCs w:val="20"/>
        </w:rPr>
        <w:t>Economic disparity is an imbalance in the distribution of economic resources, affecting individuals and groups. The existence of a gap between those who have more and those who have less inevitably creates an injustice in the distribution of those resources, which are considered important in a society. The socio-economic gap is an imbalance in the fulfillment of economic needs between groups, and thus indirectly reveals the existence of a gap.</w:t>
      </w:r>
    </w:p>
    <w:p w14:paraId="31F19693" w14:textId="77777777" w:rsidR="006E084B" w:rsidRPr="002B66F8" w:rsidRDefault="006E084B" w:rsidP="006E084B">
      <w:pPr>
        <w:spacing w:after="0" w:line="240" w:lineRule="auto"/>
        <w:ind w:firstLine="426"/>
        <w:jc w:val="both"/>
        <w:rPr>
          <w:rFonts w:ascii="Tahoma" w:eastAsia="Tahoma" w:hAnsi="Tahoma" w:cs="Tahoma"/>
          <w:noProof/>
          <w:color w:val="000000"/>
          <w:sz w:val="20"/>
          <w:szCs w:val="20"/>
        </w:rPr>
      </w:pPr>
      <w:r w:rsidRPr="002B66F8">
        <w:rPr>
          <w:rFonts w:ascii="Tahoma" w:eastAsia="Tahoma" w:hAnsi="Tahoma" w:cs="Tahoma"/>
          <w:noProof/>
          <w:color w:val="000000"/>
          <w:sz w:val="20"/>
          <w:szCs w:val="20"/>
        </w:rPr>
        <w:t>The socio-economic status of the community is highly diverse, which has a significant impact on the overall health of the nation. This discrepancy in economic status is a primary factor influencing the ease and difficulty of access to health services, despite the fact that As stated in the 1945 Constitution, Article 28 H, paragraph (1), "All individuals have the right to live in a state of physical and mental wellbeing, to reside in a healthy environment, and to receive health services."</w:t>
      </w:r>
      <w:r>
        <w:rPr>
          <w:rFonts w:ascii="Tahoma" w:eastAsia="Tahoma" w:hAnsi="Tahoma" w:cs="Tahoma"/>
          <w:noProof/>
          <w:color w:val="000000"/>
          <w:sz w:val="20"/>
          <w:szCs w:val="20"/>
        </w:rPr>
        <w:t xml:space="preserve"> </w:t>
      </w:r>
    </w:p>
    <w:p w14:paraId="1C2A4FCF" w14:textId="77777777" w:rsidR="006E084B" w:rsidRPr="002B66F8" w:rsidRDefault="006E084B" w:rsidP="006E084B">
      <w:pPr>
        <w:spacing w:after="0" w:line="240" w:lineRule="auto"/>
        <w:ind w:firstLine="426"/>
        <w:jc w:val="both"/>
        <w:rPr>
          <w:rFonts w:ascii="Tahoma" w:eastAsia="Tahoma" w:hAnsi="Tahoma" w:cs="Tahoma"/>
          <w:noProof/>
          <w:color w:val="000000"/>
          <w:sz w:val="20"/>
          <w:szCs w:val="20"/>
        </w:rPr>
      </w:pPr>
      <w:r w:rsidRPr="002B66F8">
        <w:rPr>
          <w:rFonts w:ascii="Tahoma" w:eastAsia="Tahoma" w:hAnsi="Tahoma" w:cs="Tahoma"/>
          <w:noProof/>
          <w:color w:val="000000"/>
          <w:sz w:val="20"/>
          <w:szCs w:val="20"/>
        </w:rPr>
        <w:t xml:space="preserve">In order to actualize the ideals of the nation set forth in the fifth point of Pancasila on the principle of justice, the government is endeavoring to implement a health program targeting the middle to lower class population, with the objective of facilitating their access to health services. However, despite these efforts, many individuals </w:t>
      </w:r>
      <w:r w:rsidRPr="002B66F8">
        <w:rPr>
          <w:rFonts w:ascii="Tahoma" w:eastAsia="Tahoma" w:hAnsi="Tahoma" w:cs="Tahoma"/>
          <w:noProof/>
          <w:color w:val="000000"/>
          <w:sz w:val="20"/>
          <w:szCs w:val="20"/>
        </w:rPr>
        <w:t>continue to encounter challenges in receiving adequate attention through this government program.</w:t>
      </w:r>
    </w:p>
    <w:p w14:paraId="1E4479D7" w14:textId="5EEC25A8" w:rsidR="006E084B" w:rsidRPr="002B66F8" w:rsidRDefault="006E084B" w:rsidP="006E084B">
      <w:pPr>
        <w:spacing w:after="0" w:line="240" w:lineRule="auto"/>
        <w:ind w:firstLine="426"/>
        <w:jc w:val="both"/>
        <w:rPr>
          <w:rFonts w:ascii="Tahoma" w:eastAsia="Tahoma" w:hAnsi="Tahoma" w:cs="Tahoma"/>
          <w:noProof/>
          <w:color w:val="000000"/>
          <w:sz w:val="20"/>
          <w:szCs w:val="20"/>
        </w:rPr>
      </w:pPr>
      <w:r w:rsidRPr="002B66F8">
        <w:rPr>
          <w:rFonts w:ascii="Tahoma" w:eastAsia="Tahoma" w:hAnsi="Tahoma" w:cs="Tahoma"/>
          <w:noProof/>
          <w:color w:val="000000"/>
          <w:sz w:val="20"/>
          <w:szCs w:val="20"/>
        </w:rPr>
        <w:t>The primary objective of health services is to enhance public health and prevent the onset of disease through community counseling, with the ultimate goal of reducing the prevalence of the targeted illness. In Indonesia, these health services are typically delive</w:t>
      </w:r>
      <w:r w:rsidR="00DD6E8D">
        <w:rPr>
          <w:rFonts w:ascii="Tahoma" w:eastAsia="Tahoma" w:hAnsi="Tahoma" w:cs="Tahoma"/>
          <w:noProof/>
          <w:color w:val="000000"/>
          <w:sz w:val="20"/>
          <w:szCs w:val="20"/>
        </w:rPr>
        <w:t>red by community health centers</w:t>
      </w:r>
      <w:r>
        <w:rPr>
          <w:rFonts w:ascii="Tahoma" w:eastAsia="Tahoma" w:hAnsi="Tahoma" w:cs="Tahoma"/>
          <w:noProof/>
          <w:color w:val="000000"/>
          <w:sz w:val="20"/>
          <w:szCs w:val="20"/>
        </w:rPr>
        <w:t xml:space="preserve"> </w:t>
      </w:r>
      <w:r>
        <w:rPr>
          <w:rFonts w:ascii="Tahoma" w:eastAsia="Tahoma" w:hAnsi="Tahoma" w:cs="Tahoma"/>
          <w:noProof/>
          <w:color w:val="000000"/>
          <w:sz w:val="20"/>
          <w:szCs w:val="20"/>
        </w:rPr>
        <w:fldChar w:fldCharType="begin" w:fldLock="1"/>
      </w:r>
      <w:r>
        <w:rPr>
          <w:rFonts w:ascii="Tahoma" w:eastAsia="Tahoma" w:hAnsi="Tahoma" w:cs="Tahoma"/>
          <w:noProof/>
          <w:color w:val="000000"/>
          <w:sz w:val="20"/>
          <w:szCs w:val="20"/>
        </w:rPr>
        <w:instrText>ADDIN CSL_CITATION {"citationItems":[{"id":"ITEM-1","itemData":{"DOI":"10.1017/S1041610223001345","ISSN":"1041-6102","author":[{"dropping-particle":"","family":"Röhr","given":"Susanne","non-dropping-particle":"","parse-names":false,"suffix":""},{"dropping-particle":"","family":"Gibson","given":"Rosemary","non-dropping-particle":"","parse-names":false,"suffix":""},{"dropping-particle":"","family":"Alpass","given":"Fiona","non-dropping-particle":"","parse-names":false,"suffix":""},{"dropping-particle":"","family":"Stephens","given":"Christine","non-dropping-particle":"","parse-names":false,"suffix":""}],"container-title":"International Psychogeriatrics","id":"ITEM-1","issue":"S1","issued":{"date-parts":[["2023","12","2"]]},"page":"99-99","title":"FC36: Social determinants of modifiable dementia risk in Maori and Non-Maori: Results of the New Zealand Health, Work and Retirement study","type":"article-journal","volume":"35"},"uris":["http://www.mendeley.com/documents/?uuid=2fba250a-f354-4785-a639-6c2b254d688f"]}],"mendeley":{"formattedCitation":"(Röhr &lt;i&gt;et al.&lt;/i&gt;, 2023)","plainTextFormattedCitation":"(Röhr et al., 2023)","previouslyFormattedCitation":"(Röhr &lt;i&gt;et al.&lt;/i&gt;, 2023)"},"properties":{"noteIndex":0},"schema":"https://github.com/citation-style-language/schema/raw/master/csl-citation.json"}</w:instrText>
      </w:r>
      <w:r>
        <w:rPr>
          <w:rFonts w:ascii="Tahoma" w:eastAsia="Tahoma" w:hAnsi="Tahoma" w:cs="Tahoma"/>
          <w:noProof/>
          <w:color w:val="000000"/>
          <w:sz w:val="20"/>
          <w:szCs w:val="20"/>
        </w:rPr>
        <w:fldChar w:fldCharType="separate"/>
      </w:r>
      <w:r w:rsidRPr="003E14AF">
        <w:rPr>
          <w:rFonts w:ascii="Tahoma" w:eastAsia="Tahoma" w:hAnsi="Tahoma" w:cs="Tahoma"/>
          <w:noProof/>
          <w:color w:val="000000"/>
          <w:sz w:val="20"/>
          <w:szCs w:val="20"/>
        </w:rPr>
        <w:t xml:space="preserve">(Röhr </w:t>
      </w:r>
      <w:r w:rsidRPr="003E14AF">
        <w:rPr>
          <w:rFonts w:ascii="Tahoma" w:eastAsia="Tahoma" w:hAnsi="Tahoma" w:cs="Tahoma"/>
          <w:i/>
          <w:noProof/>
          <w:color w:val="000000"/>
          <w:sz w:val="20"/>
          <w:szCs w:val="20"/>
        </w:rPr>
        <w:t>et al.</w:t>
      </w:r>
      <w:r w:rsidRPr="003E14AF">
        <w:rPr>
          <w:rFonts w:ascii="Tahoma" w:eastAsia="Tahoma" w:hAnsi="Tahoma" w:cs="Tahoma"/>
          <w:noProof/>
          <w:color w:val="000000"/>
          <w:sz w:val="20"/>
          <w:szCs w:val="20"/>
        </w:rPr>
        <w:t>, 2023)</w:t>
      </w:r>
      <w:r>
        <w:rPr>
          <w:rFonts w:ascii="Tahoma" w:eastAsia="Tahoma" w:hAnsi="Tahoma" w:cs="Tahoma"/>
          <w:noProof/>
          <w:color w:val="000000"/>
          <w:sz w:val="20"/>
          <w:szCs w:val="20"/>
        </w:rPr>
        <w:fldChar w:fldCharType="end"/>
      </w:r>
      <w:r w:rsidR="00DD6E8D">
        <w:rPr>
          <w:rFonts w:ascii="Tahoma" w:eastAsia="Tahoma" w:hAnsi="Tahoma" w:cs="Tahoma"/>
          <w:noProof/>
          <w:color w:val="000000"/>
          <w:sz w:val="20"/>
          <w:szCs w:val="20"/>
        </w:rPr>
        <w:t>.</w:t>
      </w:r>
    </w:p>
    <w:p w14:paraId="4402E514" w14:textId="77777777" w:rsidR="006E084B" w:rsidRPr="002B66F8" w:rsidRDefault="006E084B" w:rsidP="006E084B">
      <w:pPr>
        <w:spacing w:after="0" w:line="240" w:lineRule="auto"/>
        <w:ind w:firstLine="426"/>
        <w:jc w:val="both"/>
        <w:rPr>
          <w:rFonts w:ascii="Tahoma" w:eastAsia="Tahoma" w:hAnsi="Tahoma" w:cs="Tahoma"/>
          <w:noProof/>
          <w:color w:val="000000"/>
          <w:sz w:val="20"/>
          <w:szCs w:val="20"/>
        </w:rPr>
      </w:pPr>
      <w:r w:rsidRPr="002B66F8">
        <w:rPr>
          <w:rFonts w:ascii="Tahoma" w:eastAsia="Tahoma" w:hAnsi="Tahoma" w:cs="Tahoma"/>
          <w:noProof/>
          <w:color w:val="000000"/>
          <w:sz w:val="20"/>
          <w:szCs w:val="20"/>
        </w:rPr>
        <w:t>Subjectively, certain groups of people experience inequality in obtaining the right to health services. Some elderly individuals perceive a lack of attention from health services, which they feel are designed with a focus on younger, more productive populations. Women report that their role in determining contraceptive use is undervalued compared to that of men. Those from lower socioeconomic backgrounds also report limited access to education, which they believe negatively impacts their ability to make informed decisions about their health.</w:t>
      </w:r>
    </w:p>
    <w:p w14:paraId="3E1AFE0B" w14:textId="77777777" w:rsidR="006E084B" w:rsidRPr="002B66F8" w:rsidRDefault="006E084B" w:rsidP="006E084B">
      <w:pPr>
        <w:spacing w:after="0" w:line="240" w:lineRule="auto"/>
        <w:ind w:firstLine="426"/>
        <w:jc w:val="both"/>
        <w:rPr>
          <w:rFonts w:ascii="Tahoma" w:eastAsia="Tahoma" w:hAnsi="Tahoma" w:cs="Tahoma"/>
          <w:noProof/>
          <w:color w:val="000000"/>
          <w:sz w:val="20"/>
          <w:szCs w:val="20"/>
        </w:rPr>
      </w:pPr>
      <w:r w:rsidRPr="002B66F8">
        <w:rPr>
          <w:rFonts w:ascii="Tahoma" w:eastAsia="Tahoma" w:hAnsi="Tahoma" w:cs="Tahoma"/>
          <w:noProof/>
          <w:color w:val="000000"/>
          <w:sz w:val="20"/>
          <w:szCs w:val="20"/>
        </w:rPr>
        <w:t xml:space="preserve">In quantitative terms, inequality can be defined as a difference in numbers, which is referred to as "inequality." When this difference pertains to health issues, it is classified as health inequality. To provide an illustration, there might be a discrepancy in life expectancy between region A and region B. Alternatively, there might be a </w:t>
      </w:r>
      <w:r w:rsidRPr="002B66F8">
        <w:rPr>
          <w:rFonts w:ascii="Tahoma" w:eastAsia="Tahoma" w:hAnsi="Tahoma" w:cs="Tahoma"/>
          <w:noProof/>
          <w:color w:val="000000"/>
          <w:sz w:val="20"/>
          <w:szCs w:val="20"/>
        </w:rPr>
        <w:lastRenderedPageBreak/>
        <w:t>disparity in the number of BPJS participants between city A and city B.</w:t>
      </w:r>
    </w:p>
    <w:p w14:paraId="50E8CF73" w14:textId="699F9161" w:rsidR="008B7B99" w:rsidRPr="008B7B99" w:rsidRDefault="008B7B99" w:rsidP="008B7B99">
      <w:pPr>
        <w:spacing w:after="0" w:line="240" w:lineRule="auto"/>
        <w:ind w:firstLine="426"/>
        <w:jc w:val="both"/>
        <w:rPr>
          <w:rFonts w:ascii="Tahoma" w:eastAsia="Tahoma" w:hAnsi="Tahoma" w:cs="Tahoma"/>
          <w:noProof/>
          <w:color w:val="000000"/>
          <w:sz w:val="20"/>
          <w:szCs w:val="20"/>
        </w:rPr>
      </w:pPr>
      <w:r w:rsidRPr="008B7B99">
        <w:rPr>
          <w:rFonts w:ascii="Tahoma" w:eastAsia="Tahoma" w:hAnsi="Tahoma" w:cs="Tahoma"/>
          <w:noProof/>
          <w:color w:val="000000"/>
          <w:sz w:val="20"/>
          <w:szCs w:val="20"/>
        </w:rPr>
        <w:t xml:space="preserve">As demonstrated by Bambi et al. (2024), inequities in health services are a prevalent phenomenon within community settings. For instance, individuals diagnosed with HIV/AIDS may encounter disparities in the quality of health services provided at local health centers. Similarly, residents of specific areas, predominantly of a particular ethnic origin, frequently confront injustices in the </w:t>
      </w:r>
      <w:r w:rsidR="00DD6E8D">
        <w:rPr>
          <w:rFonts w:ascii="Tahoma" w:eastAsia="Tahoma" w:hAnsi="Tahoma" w:cs="Tahoma"/>
          <w:noProof/>
          <w:color w:val="000000"/>
          <w:sz w:val="20"/>
          <w:szCs w:val="20"/>
        </w:rPr>
        <w:t>distribution of health services</w:t>
      </w:r>
      <w:r w:rsidRPr="008B7B99">
        <w:rPr>
          <w:rFonts w:ascii="Tahoma" w:eastAsia="Tahoma" w:hAnsi="Tahoma" w:cs="Tahoma"/>
          <w:noProof/>
          <w:color w:val="000000"/>
          <w:sz w:val="20"/>
          <w:szCs w:val="20"/>
        </w:rPr>
        <w:t xml:space="preserve"> (Bambi et al., 2024)</w:t>
      </w:r>
      <w:r w:rsidR="00DD6E8D">
        <w:rPr>
          <w:rFonts w:ascii="Tahoma" w:eastAsia="Tahoma" w:hAnsi="Tahoma" w:cs="Tahoma"/>
          <w:noProof/>
          <w:color w:val="000000"/>
          <w:sz w:val="20"/>
          <w:szCs w:val="20"/>
        </w:rPr>
        <w:t>.</w:t>
      </w:r>
    </w:p>
    <w:p w14:paraId="4661D2AD" w14:textId="083BABC7" w:rsidR="006E084B" w:rsidRPr="002B66F8" w:rsidRDefault="008B7B99" w:rsidP="008B7B99">
      <w:pPr>
        <w:spacing w:after="0" w:line="240" w:lineRule="auto"/>
        <w:ind w:firstLine="426"/>
        <w:jc w:val="both"/>
        <w:rPr>
          <w:rFonts w:ascii="Times New Roman" w:eastAsia="Times New Roman" w:hAnsi="Times New Roman" w:cs="Times New Roman"/>
          <w:noProof/>
          <w:sz w:val="24"/>
          <w:szCs w:val="24"/>
        </w:rPr>
      </w:pPr>
      <w:r w:rsidRPr="008B7B99">
        <w:rPr>
          <w:rFonts w:ascii="Tahoma" w:eastAsia="Tahoma" w:hAnsi="Tahoma" w:cs="Tahoma"/>
          <w:noProof/>
          <w:color w:val="000000"/>
          <w:sz w:val="20"/>
          <w:szCs w:val="20"/>
        </w:rPr>
        <w:t>These differing perspectives lead to ongoing debate about the nature, extent, and implications of inequality or injustice in health care. The concept of injustice, in particular, is inherently subjective, making it a challenging subject to address. Reid and Robinson (2006) argue that health injustice is particularly difficult to address because it encompasses notions of justice, equality, and human rights. Similarly, the distinction between health injustice and health inequality rests on two different ideologies regarding the distribution of wealth or income</w:t>
      </w:r>
      <w:r>
        <w:rPr>
          <w:rFonts w:ascii="Tahoma" w:eastAsia="Tahoma" w:hAnsi="Tahoma" w:cs="Tahoma"/>
          <w:noProof/>
          <w:color w:val="000000"/>
          <w:sz w:val="20"/>
          <w:szCs w:val="20"/>
        </w:rPr>
        <w:t>.</w:t>
      </w:r>
    </w:p>
    <w:p w14:paraId="31DC157C" w14:textId="77777777" w:rsidR="006E084B" w:rsidRPr="002B66F8" w:rsidRDefault="006E084B" w:rsidP="006E084B">
      <w:pPr>
        <w:spacing w:after="0" w:line="240" w:lineRule="auto"/>
        <w:rPr>
          <w:rFonts w:ascii="Times New Roman" w:eastAsia="Times New Roman" w:hAnsi="Times New Roman" w:cs="Times New Roman"/>
          <w:noProof/>
          <w:sz w:val="24"/>
          <w:szCs w:val="24"/>
        </w:rPr>
      </w:pPr>
    </w:p>
    <w:p w14:paraId="6330F955" w14:textId="2A08FEAC" w:rsidR="006E084B" w:rsidRPr="002B66F8" w:rsidRDefault="006E084B" w:rsidP="006E084B">
      <w:pPr>
        <w:spacing w:after="0" w:line="240" w:lineRule="auto"/>
        <w:jc w:val="both"/>
        <w:rPr>
          <w:rFonts w:ascii="Times New Roman" w:eastAsia="Times New Roman" w:hAnsi="Times New Roman" w:cs="Times New Roman"/>
          <w:noProof/>
          <w:sz w:val="24"/>
          <w:szCs w:val="24"/>
        </w:rPr>
      </w:pPr>
      <w:r>
        <w:rPr>
          <w:rFonts w:ascii="Tahoma" w:eastAsia="Tahoma" w:hAnsi="Tahoma" w:cs="Tahoma"/>
          <w:b/>
          <w:noProof/>
          <w:color w:val="000000"/>
          <w:sz w:val="20"/>
          <w:szCs w:val="20"/>
        </w:rPr>
        <w:t>METHOD</w:t>
      </w:r>
      <w:r w:rsidR="00EC64C2">
        <w:rPr>
          <w:rFonts w:ascii="Tahoma" w:eastAsia="Tahoma" w:hAnsi="Tahoma" w:cs="Tahoma"/>
          <w:b/>
          <w:noProof/>
          <w:color w:val="000000"/>
          <w:sz w:val="20"/>
          <w:szCs w:val="20"/>
        </w:rPr>
        <w:t>S</w:t>
      </w:r>
    </w:p>
    <w:p w14:paraId="68DA1010" w14:textId="77777777" w:rsidR="006E084B" w:rsidRPr="002B66F8" w:rsidRDefault="006E084B" w:rsidP="006E084B">
      <w:pPr>
        <w:spacing w:after="0" w:line="240" w:lineRule="auto"/>
        <w:ind w:firstLine="425"/>
        <w:jc w:val="both"/>
        <w:rPr>
          <w:rFonts w:ascii="Tahoma" w:eastAsia="Tahoma" w:hAnsi="Tahoma" w:cs="Tahoma"/>
          <w:noProof/>
          <w:color w:val="000000"/>
          <w:sz w:val="20"/>
          <w:szCs w:val="20"/>
        </w:rPr>
      </w:pPr>
      <w:r w:rsidRPr="002B66F8">
        <w:rPr>
          <w:rFonts w:ascii="Tahoma" w:eastAsia="Tahoma" w:hAnsi="Tahoma" w:cs="Tahoma"/>
          <w:noProof/>
          <w:color w:val="000000"/>
          <w:sz w:val="20"/>
          <w:szCs w:val="20"/>
        </w:rPr>
        <w:t xml:space="preserve">This study employs the descriptive qualitative research method, which involves a systematic and comprehensive examination of a given phenomenon or subject matter, with the objective of providing a detailed account of that phenomenon or subject matter in a way that is both accurate and insightful. This method comprises a comprehensive account of the disparities in health outcomes based on socioeconomic principles at Puskesmas Medan. In contrast, analytical analysis involves a systematic and logical examination of the data collected with the objective of drawing more in-depth conclusions. This study will employ a descriptive qualitative approach to analyze data gathered via diverse research methodologies, including desk research, case studies, comparative approaches, and interpretative approaches. The analysis will yield a description of health disparities related to socioeconomic factors. Consequently, the research method utilized in this publication can be described as descriptive qualitative, as it integrates comprehensive descriptions and in-depth data analysis to fulfill the stated research objectives. </w:t>
      </w:r>
    </w:p>
    <w:p w14:paraId="10A71C05" w14:textId="77777777" w:rsidR="006E084B" w:rsidRDefault="006E084B" w:rsidP="006E084B">
      <w:pPr>
        <w:spacing w:after="0" w:line="240" w:lineRule="auto"/>
        <w:ind w:firstLine="425"/>
        <w:jc w:val="both"/>
        <w:rPr>
          <w:rFonts w:ascii="Tahoma" w:eastAsia="Tahoma" w:hAnsi="Tahoma" w:cs="Tahoma"/>
          <w:noProof/>
          <w:color w:val="000000"/>
          <w:sz w:val="20"/>
          <w:szCs w:val="20"/>
        </w:rPr>
      </w:pPr>
      <w:r w:rsidRPr="002B66F8">
        <w:rPr>
          <w:rFonts w:ascii="Tahoma" w:eastAsia="Tahoma" w:hAnsi="Tahoma" w:cs="Tahoma"/>
          <w:noProof/>
          <w:color w:val="000000"/>
          <w:sz w:val="20"/>
          <w:szCs w:val="20"/>
        </w:rPr>
        <w:t>This section outlines the approach that will be employed in the research. The preliminary phase involves a review of the relevant literature. This entails a systematic examination of sources pertaining to the research topic, including books, journals, and articles that address disparities in the health sector. The process allows researchers to identify and analyse a comprehensive range of related sources on the topic under discussion.</w:t>
      </w:r>
    </w:p>
    <w:p w14:paraId="438961F4" w14:textId="77777777" w:rsidR="006E084B" w:rsidRDefault="006E084B" w:rsidP="006E084B">
      <w:pPr>
        <w:spacing w:after="0" w:line="240" w:lineRule="auto"/>
        <w:jc w:val="both"/>
        <w:rPr>
          <w:rFonts w:ascii="Tahoma" w:eastAsia="Tahoma" w:hAnsi="Tahoma" w:cs="Tahoma"/>
          <w:noProof/>
          <w:color w:val="000000"/>
          <w:sz w:val="20"/>
          <w:szCs w:val="20"/>
        </w:rPr>
      </w:pPr>
      <w:r>
        <w:rPr>
          <w:rFonts w:ascii="Tahoma" w:eastAsia="Tahoma" w:hAnsi="Tahoma" w:cs="Tahoma"/>
          <w:noProof/>
          <w:color w:val="000000"/>
          <w:sz w:val="20"/>
          <w:szCs w:val="20"/>
          <w:lang w:val="en-GB" w:eastAsia="en-GB"/>
        </w:rPr>
        <w:drawing>
          <wp:inline distT="0" distB="0" distL="0" distR="0" wp14:anchorId="56802203" wp14:editId="3A9EABF5">
            <wp:extent cx="3239770" cy="1873250"/>
            <wp:effectExtent l="0" t="0" r="0" b="0"/>
            <wp:docPr id="13639838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83810" name="Picture 1363983810"/>
                    <pic:cNvPicPr/>
                  </pic:nvPicPr>
                  <pic:blipFill>
                    <a:blip r:embed="rId12">
                      <a:extLst>
                        <a:ext uri="{28A0092B-C50C-407E-A947-70E740481C1C}">
                          <a14:useLocalDpi xmlns:a14="http://schemas.microsoft.com/office/drawing/2010/main" val="0"/>
                        </a:ext>
                      </a:extLst>
                    </a:blip>
                    <a:stretch>
                      <a:fillRect/>
                    </a:stretch>
                  </pic:blipFill>
                  <pic:spPr>
                    <a:xfrm>
                      <a:off x="0" y="0"/>
                      <a:ext cx="3239770" cy="1873250"/>
                    </a:xfrm>
                    <a:prstGeom prst="rect">
                      <a:avLst/>
                    </a:prstGeom>
                  </pic:spPr>
                </pic:pic>
              </a:graphicData>
            </a:graphic>
          </wp:inline>
        </w:drawing>
      </w:r>
    </w:p>
    <w:p w14:paraId="087FB379" w14:textId="77777777" w:rsidR="006E084B" w:rsidRPr="002B66F8" w:rsidRDefault="006E084B" w:rsidP="006E084B">
      <w:pPr>
        <w:spacing w:after="0" w:line="240" w:lineRule="auto"/>
        <w:jc w:val="center"/>
        <w:rPr>
          <w:rFonts w:ascii="Tahoma" w:eastAsia="Tahoma" w:hAnsi="Tahoma" w:cs="Tahoma"/>
          <w:noProof/>
          <w:color w:val="000000"/>
          <w:sz w:val="20"/>
          <w:szCs w:val="20"/>
        </w:rPr>
      </w:pPr>
      <w:r w:rsidRPr="00DD6E8D">
        <w:rPr>
          <w:rFonts w:ascii="Tahoma" w:eastAsia="Tahoma" w:hAnsi="Tahoma" w:cs="Tahoma"/>
          <w:b/>
          <w:bCs/>
          <w:noProof/>
          <w:color w:val="000000"/>
          <w:sz w:val="20"/>
          <w:szCs w:val="20"/>
        </w:rPr>
        <w:t>Figure 1.</w:t>
      </w:r>
      <w:r>
        <w:rPr>
          <w:rFonts w:ascii="Tahoma" w:eastAsia="Tahoma" w:hAnsi="Tahoma" w:cs="Tahoma"/>
          <w:noProof/>
          <w:color w:val="000000"/>
          <w:sz w:val="20"/>
          <w:szCs w:val="20"/>
        </w:rPr>
        <w:t xml:space="preserve"> Qualitative Research Method</w:t>
      </w:r>
    </w:p>
    <w:p w14:paraId="2614D6AA" w14:textId="77777777" w:rsidR="006E084B" w:rsidRPr="002B66F8" w:rsidRDefault="006E084B" w:rsidP="006E084B">
      <w:pPr>
        <w:spacing w:after="0" w:line="240" w:lineRule="auto"/>
        <w:ind w:firstLine="425"/>
        <w:jc w:val="both"/>
        <w:rPr>
          <w:rFonts w:ascii="Tahoma" w:eastAsia="Tahoma" w:hAnsi="Tahoma" w:cs="Tahoma"/>
          <w:noProof/>
          <w:color w:val="000000"/>
          <w:sz w:val="20"/>
          <w:szCs w:val="20"/>
        </w:rPr>
      </w:pPr>
    </w:p>
    <w:p w14:paraId="087C09F5" w14:textId="42310208" w:rsidR="006E084B" w:rsidRPr="002B66F8" w:rsidRDefault="006E084B" w:rsidP="006E084B">
      <w:pPr>
        <w:spacing w:after="0" w:line="240" w:lineRule="auto"/>
        <w:jc w:val="both"/>
        <w:rPr>
          <w:rFonts w:ascii="Times New Roman" w:eastAsia="Times New Roman" w:hAnsi="Times New Roman" w:cs="Times New Roman"/>
          <w:noProof/>
          <w:sz w:val="24"/>
          <w:szCs w:val="24"/>
        </w:rPr>
      </w:pPr>
      <w:r>
        <w:rPr>
          <w:rFonts w:ascii="Tahoma" w:eastAsia="Tahoma" w:hAnsi="Tahoma" w:cs="Tahoma"/>
          <w:b/>
          <w:noProof/>
          <w:color w:val="000000"/>
          <w:sz w:val="20"/>
          <w:szCs w:val="20"/>
        </w:rPr>
        <w:t xml:space="preserve">RESULT </w:t>
      </w:r>
      <w:r w:rsidR="00EC64C2">
        <w:rPr>
          <w:rFonts w:ascii="Tahoma" w:eastAsia="Tahoma" w:hAnsi="Tahoma" w:cs="Tahoma"/>
          <w:b/>
          <w:noProof/>
          <w:color w:val="000000"/>
          <w:sz w:val="20"/>
          <w:szCs w:val="20"/>
        </w:rPr>
        <w:t>AND</w:t>
      </w:r>
      <w:r>
        <w:rPr>
          <w:rFonts w:ascii="Tahoma" w:eastAsia="Tahoma" w:hAnsi="Tahoma" w:cs="Tahoma"/>
          <w:b/>
          <w:noProof/>
          <w:color w:val="000000"/>
          <w:sz w:val="20"/>
          <w:szCs w:val="20"/>
        </w:rPr>
        <w:t xml:space="preserve"> DISCUSSION</w:t>
      </w:r>
    </w:p>
    <w:p w14:paraId="1996B973" w14:textId="77777777" w:rsidR="006E084B" w:rsidRDefault="006E084B" w:rsidP="006E084B">
      <w:pPr>
        <w:spacing w:after="0" w:line="240" w:lineRule="auto"/>
        <w:ind w:firstLine="284"/>
        <w:jc w:val="both"/>
        <w:rPr>
          <w:rFonts w:ascii="Tahoma" w:eastAsia="Tahoma" w:hAnsi="Tahoma" w:cs="Tahoma"/>
          <w:noProof/>
          <w:color w:val="000000"/>
          <w:sz w:val="20"/>
          <w:szCs w:val="20"/>
        </w:rPr>
      </w:pPr>
      <w:r w:rsidRPr="00AC5C51">
        <w:rPr>
          <w:rFonts w:ascii="Tahoma" w:eastAsia="Tahoma" w:hAnsi="Tahoma" w:cs="Tahoma"/>
          <w:noProof/>
          <w:color w:val="000000"/>
          <w:sz w:val="20"/>
          <w:szCs w:val="20"/>
        </w:rPr>
        <w:t xml:space="preserve">The disparity in access to services refers to the discrepancy experienced by a particular community in terms of obtaining a comprehensive range of health services, including both primary (promotive and preventive) and tertiary (curative, rehabilitative and other specialized services). This gap may be subjective (perceived by the community) or objective (deliberately designed or implemented by health service providers). The objective of this research is to identify examples of health service access gaps at Puskesmas Medan. In the field of health promotion, residents in Medan reported difficulties in obtaining information on health services. In the area of preventive health care, residents lacking a local KTP reported obstacles in accessing information on health services. Finally, in the domain of curative health care, residents who are not members of BPJS Kesehatan reported challenges in receiving treatment. </w:t>
      </w:r>
    </w:p>
    <w:p w14:paraId="46552228" w14:textId="77777777" w:rsidR="006E084B" w:rsidRPr="00AC5C51" w:rsidRDefault="006E084B" w:rsidP="006E084B">
      <w:pPr>
        <w:spacing w:after="0" w:line="240" w:lineRule="auto"/>
        <w:ind w:firstLine="284"/>
        <w:jc w:val="both"/>
        <w:rPr>
          <w:rFonts w:ascii="Tahoma" w:eastAsia="Tahoma" w:hAnsi="Tahoma" w:cs="Tahoma"/>
          <w:noProof/>
          <w:color w:val="000000"/>
          <w:sz w:val="20"/>
          <w:szCs w:val="20"/>
        </w:rPr>
      </w:pPr>
      <w:r w:rsidRPr="00AC5C51">
        <w:rPr>
          <w:rFonts w:ascii="Tahoma" w:eastAsia="Tahoma" w:hAnsi="Tahoma" w:cs="Tahoma"/>
          <w:noProof/>
          <w:color w:val="000000"/>
          <w:sz w:val="20"/>
          <w:szCs w:val="20"/>
        </w:rPr>
        <w:t xml:space="preserve">Furthermore, from the rehabilitative perspective, individuals with limited financial resources and those living below the poverty line may encounter challenges in bearing the economic burden associated with their illnesses. </w:t>
      </w:r>
    </w:p>
    <w:p w14:paraId="4B0C26E8" w14:textId="77777777" w:rsidR="006E084B" w:rsidRDefault="006E084B" w:rsidP="006E084B">
      <w:pPr>
        <w:spacing w:after="0" w:line="240" w:lineRule="auto"/>
        <w:ind w:firstLine="426"/>
        <w:jc w:val="both"/>
        <w:rPr>
          <w:rFonts w:ascii="Tahoma" w:eastAsia="Tahoma" w:hAnsi="Tahoma" w:cs="Tahoma"/>
          <w:noProof/>
          <w:color w:val="000000"/>
          <w:sz w:val="20"/>
          <w:szCs w:val="20"/>
        </w:rPr>
      </w:pPr>
      <w:r w:rsidRPr="00AC5C51">
        <w:rPr>
          <w:rFonts w:ascii="Tahoma" w:eastAsia="Tahoma" w:hAnsi="Tahoma" w:cs="Tahoma"/>
          <w:noProof/>
          <w:color w:val="000000"/>
          <w:sz w:val="20"/>
          <w:szCs w:val="20"/>
        </w:rPr>
        <w:t>As an illustration of deliberate or structured disparities in access to health services, the government has identified vulnerable groups, including infants, pregnant women, and the elderly, as priority recipients of vitamin supplementation in the promotive sector. In the preventive sector, vaccinations and immunizations are given priority in some cases. For instance, the vaccine for the novel coronavirus (Covid-19), which is intended for health workers, is one such example. In the rehabilitative sector, a company may implement a policy that makes it easier for workers who have been injured at work to return to work if they are still productive or under the age of 40.</w:t>
      </w:r>
    </w:p>
    <w:p w14:paraId="2C3D6BF9" w14:textId="77777777" w:rsidR="006E084B" w:rsidRDefault="006E084B" w:rsidP="006E084B">
      <w:pPr>
        <w:spacing w:after="0" w:line="240" w:lineRule="auto"/>
        <w:ind w:firstLine="426"/>
        <w:jc w:val="both"/>
        <w:rPr>
          <w:rFonts w:ascii="Tahoma" w:eastAsia="Tahoma" w:hAnsi="Tahoma" w:cs="Tahoma"/>
          <w:noProof/>
          <w:color w:val="000000"/>
          <w:sz w:val="20"/>
          <w:szCs w:val="20"/>
        </w:rPr>
      </w:pPr>
      <w:r w:rsidRPr="00007413">
        <w:rPr>
          <w:rFonts w:ascii="Tahoma" w:eastAsia="Tahoma" w:hAnsi="Tahoma" w:cs="Tahoma"/>
          <w:noProof/>
          <w:color w:val="000000"/>
          <w:sz w:val="20"/>
          <w:szCs w:val="20"/>
        </w:rPr>
        <w:t>The question arises as to why this is occurring. It would appear that patient safety has not yet become a culture that must be considered by hospitals in Indonesia. Furthermore, the paradigm shift in healthcare institutions that is currently turning to patient-centered care has not been carried out properly.</w:t>
      </w:r>
      <w:r>
        <w:rPr>
          <w:rFonts w:ascii="Tahoma" w:eastAsia="Tahoma" w:hAnsi="Tahoma" w:cs="Tahoma"/>
          <w:noProof/>
          <w:color w:val="000000"/>
          <w:sz w:val="20"/>
          <w:szCs w:val="20"/>
        </w:rPr>
        <w:t xml:space="preserve"> </w:t>
      </w:r>
    </w:p>
    <w:p w14:paraId="4B63F331" w14:textId="77777777" w:rsidR="006E084B" w:rsidRPr="00007413" w:rsidRDefault="006E084B" w:rsidP="006E084B">
      <w:pPr>
        <w:spacing w:after="0" w:line="240" w:lineRule="auto"/>
        <w:ind w:firstLine="426"/>
        <w:jc w:val="both"/>
        <w:rPr>
          <w:rFonts w:ascii="Tahoma" w:eastAsia="Tahoma" w:hAnsi="Tahoma" w:cs="Tahoma"/>
          <w:noProof/>
          <w:color w:val="000000"/>
          <w:sz w:val="20"/>
          <w:szCs w:val="20"/>
        </w:rPr>
      </w:pPr>
      <w:r w:rsidRPr="001D6B19">
        <w:rPr>
          <w:rFonts w:ascii="Tahoma" w:eastAsia="Tahoma" w:hAnsi="Tahoma" w:cs="Tahoma"/>
          <w:noProof/>
          <w:color w:val="000000"/>
          <w:sz w:val="20"/>
          <w:szCs w:val="20"/>
        </w:rPr>
        <w:t xml:space="preserve">As Mrs. MA stated, she is unable to obtain information or promotions from the health service because she does not possess an ID card that corresponds with her place of residence. Consequently, she was unable to access </w:t>
      </w:r>
      <w:r w:rsidRPr="001D6B19">
        <w:rPr>
          <w:rFonts w:ascii="Tahoma" w:eastAsia="Tahoma" w:hAnsi="Tahoma" w:cs="Tahoma"/>
          <w:noProof/>
          <w:color w:val="000000"/>
          <w:sz w:val="20"/>
          <w:szCs w:val="20"/>
        </w:rPr>
        <w:lastRenderedPageBreak/>
        <w:t>information about health activities on several occasions. Mrs. MA's economic status is classified as lower middle class. There are certain services that are inaccessible due to her economic circumstances. For instance, immunization for Mrs. MA's child, there are several immunizations that are not included in the government's mandatory program and are not available to individuals in the middle to lower class category. Consequently, they are required to bear a significant financial burden.</w:t>
      </w:r>
    </w:p>
    <w:p w14:paraId="5475806E" w14:textId="77777777" w:rsidR="006E084B" w:rsidRPr="00007413" w:rsidRDefault="006E084B" w:rsidP="006E084B">
      <w:pPr>
        <w:spacing w:after="0" w:line="240" w:lineRule="auto"/>
        <w:ind w:firstLine="426"/>
        <w:jc w:val="both"/>
        <w:rPr>
          <w:rFonts w:ascii="Tahoma" w:eastAsia="Tahoma" w:hAnsi="Tahoma" w:cs="Tahoma"/>
          <w:noProof/>
          <w:color w:val="000000"/>
          <w:sz w:val="20"/>
          <w:szCs w:val="20"/>
        </w:rPr>
      </w:pPr>
      <w:r w:rsidRPr="00007413">
        <w:rPr>
          <w:rFonts w:ascii="Tahoma" w:eastAsia="Tahoma" w:hAnsi="Tahoma" w:cs="Tahoma"/>
          <w:noProof/>
          <w:color w:val="000000"/>
          <w:sz w:val="20"/>
          <w:szCs w:val="20"/>
        </w:rPr>
        <w:t>Some hospitals remain oriented towards the interests of management, which can result in a neglect of patient safety. In accordance with the stipulations set forth in Law Number 36 Year 2009 on Health, hospitals are now required to prioritize patient safety above other interests. Consequently, he asserted, hospitals are obliged to implement a patient safety culture. There is no longer any justification for any hospital to refrain from implementing a culture of patient safety, given that the consequences extend beyond mere material losses and encompass the potential loss of the patient's life.</w:t>
      </w:r>
    </w:p>
    <w:p w14:paraId="3ACCEFCD" w14:textId="77777777" w:rsidR="006E084B" w:rsidRPr="00007413" w:rsidRDefault="006E084B" w:rsidP="006E084B">
      <w:pPr>
        <w:spacing w:after="0" w:line="240" w:lineRule="auto"/>
        <w:ind w:firstLine="426"/>
        <w:jc w:val="both"/>
        <w:rPr>
          <w:rFonts w:ascii="Tahoma" w:eastAsia="Tahoma" w:hAnsi="Tahoma" w:cs="Tahoma"/>
          <w:noProof/>
          <w:color w:val="000000"/>
          <w:sz w:val="20"/>
          <w:szCs w:val="20"/>
        </w:rPr>
      </w:pPr>
      <w:r w:rsidRPr="000E0823">
        <w:rPr>
          <w:rFonts w:ascii="Tahoma" w:eastAsia="Tahoma" w:hAnsi="Tahoma" w:cs="Tahoma"/>
          <w:noProof/>
          <w:color w:val="000000"/>
          <w:sz w:val="20"/>
          <w:szCs w:val="20"/>
        </w:rPr>
        <w:t xml:space="preserve">According to Mr. JF's statement, </w:t>
      </w:r>
      <w:r>
        <w:rPr>
          <w:rFonts w:ascii="Tahoma" w:eastAsia="Tahoma" w:hAnsi="Tahoma" w:cs="Tahoma"/>
          <w:noProof/>
          <w:color w:val="000000"/>
          <w:sz w:val="20"/>
          <w:szCs w:val="20"/>
        </w:rPr>
        <w:t>t</w:t>
      </w:r>
      <w:r w:rsidRPr="00007413">
        <w:rPr>
          <w:rFonts w:ascii="Tahoma" w:eastAsia="Tahoma" w:hAnsi="Tahoma" w:cs="Tahoma"/>
          <w:noProof/>
          <w:color w:val="000000"/>
          <w:sz w:val="20"/>
          <w:szCs w:val="20"/>
        </w:rPr>
        <w:t>he public has lodged numerous complaints about doctors, the majority of which pertain to the provision of incomplete information, inaccurate disease diagnoses, and unfriendly attitudes. There are even instances of doctors exhibiting unprofessional behavior towards patients. In the event that hospitals and healthcare workers continue to disregard patient safety, it is imperative that severe sanctions be imposed on both parties. However, numerous cases in Indonesia have demonstrated that hospitals and even healthcare workers have not been subjected to any form of penalty, which underscores the persistently weak enforcement of health laws in Indonesia.</w:t>
      </w:r>
    </w:p>
    <w:p w14:paraId="63185E44" w14:textId="77777777" w:rsidR="006E084B" w:rsidRPr="00007413" w:rsidRDefault="006E084B" w:rsidP="006E084B">
      <w:pPr>
        <w:spacing w:after="0" w:line="240" w:lineRule="auto"/>
        <w:ind w:firstLine="426"/>
        <w:jc w:val="both"/>
        <w:rPr>
          <w:rFonts w:ascii="Tahoma" w:eastAsia="Tahoma" w:hAnsi="Tahoma" w:cs="Tahoma"/>
          <w:noProof/>
          <w:color w:val="000000"/>
          <w:sz w:val="20"/>
          <w:szCs w:val="20"/>
        </w:rPr>
      </w:pPr>
      <w:r w:rsidRPr="00007413">
        <w:rPr>
          <w:rFonts w:ascii="Tahoma" w:eastAsia="Tahoma" w:hAnsi="Tahoma" w:cs="Tahoma"/>
          <w:noProof/>
          <w:color w:val="000000"/>
          <w:sz w:val="20"/>
          <w:szCs w:val="20"/>
        </w:rPr>
        <w:t>In cases where negligence or even intent on the part of the hospital results in a threat to patient safety, it is imperative that not only internal sanctions be imposed but that the matter also be referred for criminal prosecution. This is the current situation, whereby the community is being harmed due to weak law enforcement, which ultimately results in cases being dismissed. There are several factors that contribute to the failure of patient safety cultures to be truly implemented in various hospitals. Primarily, the low level of concern of health workers for patients is evident in the continued occurrence of discriminatory incidents experienced by patients, particularly those from impoverished communities.</w:t>
      </w:r>
    </w:p>
    <w:p w14:paraId="38E54BE4" w14:textId="77777777" w:rsidR="006E084B" w:rsidRPr="00007413" w:rsidRDefault="006E084B" w:rsidP="006E084B">
      <w:pPr>
        <w:spacing w:after="0" w:line="240" w:lineRule="auto"/>
        <w:ind w:firstLine="426"/>
        <w:jc w:val="both"/>
        <w:rPr>
          <w:rFonts w:ascii="Tahoma" w:eastAsia="Tahoma" w:hAnsi="Tahoma" w:cs="Tahoma"/>
          <w:noProof/>
          <w:color w:val="000000"/>
          <w:sz w:val="20"/>
          <w:szCs w:val="20"/>
        </w:rPr>
      </w:pPr>
      <w:r>
        <w:rPr>
          <w:rFonts w:ascii="Tahoma" w:eastAsia="Tahoma" w:hAnsi="Tahoma" w:cs="Tahoma"/>
          <w:noProof/>
          <w:color w:val="000000"/>
          <w:sz w:val="20"/>
          <w:szCs w:val="20"/>
        </w:rPr>
        <w:t>T</w:t>
      </w:r>
      <w:r w:rsidRPr="00007413">
        <w:rPr>
          <w:rFonts w:ascii="Tahoma" w:eastAsia="Tahoma" w:hAnsi="Tahoma" w:cs="Tahoma"/>
          <w:noProof/>
          <w:color w:val="000000"/>
          <w:sz w:val="20"/>
          <w:szCs w:val="20"/>
        </w:rPr>
        <w:t>he workload of health workers remains excessive, particularly that of nurses. Nurses are responsible for nursing care to patients, yet in some hospitals, the number of nurses is limited, thereby increasing their workload.</w:t>
      </w:r>
    </w:p>
    <w:p w14:paraId="4F9D46F7" w14:textId="77777777" w:rsidR="006E084B" w:rsidRDefault="006E084B" w:rsidP="006E084B">
      <w:pPr>
        <w:spacing w:after="0" w:line="240" w:lineRule="auto"/>
        <w:ind w:firstLine="426"/>
        <w:jc w:val="both"/>
        <w:rPr>
          <w:rFonts w:ascii="Tahoma" w:eastAsia="Tahoma" w:hAnsi="Tahoma" w:cs="Tahoma"/>
          <w:noProof/>
          <w:color w:val="000000"/>
          <w:sz w:val="20"/>
          <w:szCs w:val="20"/>
        </w:rPr>
      </w:pPr>
      <w:r w:rsidRPr="00007413">
        <w:rPr>
          <w:rFonts w:ascii="Tahoma" w:eastAsia="Tahoma" w:hAnsi="Tahoma" w:cs="Tahoma"/>
          <w:noProof/>
          <w:color w:val="000000"/>
          <w:sz w:val="20"/>
          <w:szCs w:val="20"/>
        </w:rPr>
        <w:t>In addition to nurses, there is currently a shortage of doctors, especially specialists, in Indonesia. This is coupled with an uneven distribution of medical professionals, which has an impact on the quality of service provided in hospitals. Third, there is a tendency among health workers to prioritize pragmatism, which can result in a lack of attention to patient safety.</w:t>
      </w:r>
    </w:p>
    <w:p w14:paraId="5FB8431A" w14:textId="77777777" w:rsidR="006E084B" w:rsidRPr="00007413" w:rsidRDefault="006E084B" w:rsidP="006E084B">
      <w:pPr>
        <w:spacing w:after="0" w:line="240" w:lineRule="auto"/>
        <w:ind w:firstLine="426"/>
        <w:jc w:val="both"/>
        <w:rPr>
          <w:rFonts w:ascii="Tahoma" w:eastAsia="Tahoma" w:hAnsi="Tahoma" w:cs="Tahoma"/>
          <w:noProof/>
          <w:color w:val="000000"/>
          <w:sz w:val="20"/>
          <w:szCs w:val="20"/>
        </w:rPr>
      </w:pPr>
      <w:r w:rsidRPr="00D40D9A">
        <w:rPr>
          <w:rFonts w:ascii="Tahoma" w:eastAsia="Tahoma" w:hAnsi="Tahoma" w:cs="Tahoma"/>
          <w:noProof/>
          <w:color w:val="000000"/>
          <w:sz w:val="20"/>
          <w:szCs w:val="20"/>
        </w:rPr>
        <w:t xml:space="preserve">This was the experience of Ms. WS, who received suboptimal care due to her BPJS insurance being classified as only Class III. The inadequate inpatient room conditions </w:t>
      </w:r>
      <w:r w:rsidRPr="00D40D9A">
        <w:rPr>
          <w:rFonts w:ascii="Tahoma" w:eastAsia="Tahoma" w:hAnsi="Tahoma" w:cs="Tahoma"/>
          <w:noProof/>
          <w:color w:val="000000"/>
          <w:sz w:val="20"/>
          <w:szCs w:val="20"/>
        </w:rPr>
        <w:t>resulted in unsatisfactory health services. Socioeconomic factors contribute to the disparities in health services among patients.</w:t>
      </w:r>
    </w:p>
    <w:p w14:paraId="3AF32053" w14:textId="77777777" w:rsidR="006E084B" w:rsidRPr="00007413" w:rsidRDefault="006E084B" w:rsidP="006E084B">
      <w:pPr>
        <w:spacing w:after="0" w:line="240" w:lineRule="auto"/>
        <w:ind w:firstLine="426"/>
        <w:jc w:val="both"/>
        <w:rPr>
          <w:rFonts w:ascii="Tahoma" w:eastAsia="Tahoma" w:hAnsi="Tahoma" w:cs="Tahoma"/>
          <w:noProof/>
          <w:color w:val="000000"/>
          <w:sz w:val="20"/>
          <w:szCs w:val="20"/>
        </w:rPr>
      </w:pPr>
      <w:r>
        <w:rPr>
          <w:rFonts w:ascii="Tahoma" w:eastAsia="Tahoma" w:hAnsi="Tahoma" w:cs="Tahoma"/>
          <w:noProof/>
          <w:color w:val="000000"/>
          <w:sz w:val="20"/>
          <w:szCs w:val="20"/>
        </w:rPr>
        <w:t>T</w:t>
      </w:r>
      <w:r w:rsidRPr="00007413">
        <w:rPr>
          <w:rFonts w:ascii="Tahoma" w:eastAsia="Tahoma" w:hAnsi="Tahoma" w:cs="Tahoma"/>
          <w:noProof/>
          <w:color w:val="000000"/>
          <w:sz w:val="20"/>
          <w:szCs w:val="20"/>
        </w:rPr>
        <w:t>he lack of robust supervision by the health department of health workers is a significant issue. The lack of supervision can be attributed to a number of factors, including the limited personnel available within the health department and the department's relatively low bargaining position. The aforementioned four factors represent significant obstacles to the establishment of a patient safety culture in hospitals. If this issue is not promptly addressed, Ahid warned that cases that endanger patient safety will persist, necessitating significant efforts to establish a patient safety culture. Accordingly, the implementation of the revised accreditation standards in 2012 represents a promising opportunity to advance the implementation of a patient safety culture across all hospitals in Indonesia. Furthermore, it is essential to enhance the awareness and understanding of healthcare providers regarding the significance of integrating patient safety culture into every aspect of healthcare practice.</w:t>
      </w:r>
    </w:p>
    <w:p w14:paraId="1C2BEEDD" w14:textId="77777777" w:rsidR="006E084B" w:rsidRPr="00007413" w:rsidRDefault="006E084B" w:rsidP="006E084B">
      <w:pPr>
        <w:spacing w:after="0" w:line="240" w:lineRule="auto"/>
        <w:ind w:firstLine="426"/>
        <w:jc w:val="both"/>
        <w:rPr>
          <w:rFonts w:ascii="Tahoma" w:eastAsia="Tahoma" w:hAnsi="Tahoma" w:cs="Tahoma"/>
          <w:noProof/>
          <w:color w:val="000000"/>
          <w:sz w:val="20"/>
          <w:szCs w:val="20"/>
        </w:rPr>
      </w:pPr>
      <w:r w:rsidRPr="00007413">
        <w:rPr>
          <w:rFonts w:ascii="Tahoma" w:eastAsia="Tahoma" w:hAnsi="Tahoma" w:cs="Tahoma"/>
          <w:noProof/>
          <w:color w:val="000000"/>
          <w:sz w:val="20"/>
          <w:szCs w:val="20"/>
        </w:rPr>
        <w:t>Ahid asserts that a comprehensive public awareness campaign is imperative to inform the general public, particularly those who utilize healthcare services, about the significance of patient safety culture and the importance of responsible behavior in healthcare utilization.</w:t>
      </w:r>
    </w:p>
    <w:p w14:paraId="5C775E8A" w14:textId="77777777" w:rsidR="006E084B" w:rsidRPr="00007413" w:rsidRDefault="006E084B" w:rsidP="006E084B">
      <w:pPr>
        <w:spacing w:after="0" w:line="240" w:lineRule="auto"/>
        <w:ind w:firstLine="426"/>
        <w:jc w:val="both"/>
        <w:rPr>
          <w:rFonts w:ascii="Tahoma" w:eastAsia="Tahoma" w:hAnsi="Tahoma" w:cs="Tahoma"/>
          <w:noProof/>
          <w:color w:val="000000"/>
          <w:sz w:val="20"/>
          <w:szCs w:val="20"/>
        </w:rPr>
      </w:pPr>
      <w:r w:rsidRPr="00007413">
        <w:rPr>
          <w:rFonts w:ascii="Tahoma" w:eastAsia="Tahoma" w:hAnsi="Tahoma" w:cs="Tahoma"/>
          <w:noProof/>
          <w:color w:val="000000"/>
          <w:sz w:val="20"/>
          <w:szCs w:val="20"/>
        </w:rPr>
        <w:t>These efforts must be made immediately to prevent further instances of alleged malpractice that could harm the community and to enhance the quality of health services in hospitals. By prioritizing patient safety, a patient safety culture can be effectively implemented. "It is imperative not to allow a few isolated incidents at a hospital to result in irreparable damage to the hospital's reputation on the global stage," he said.</w:t>
      </w:r>
      <w:r>
        <w:rPr>
          <w:rFonts w:ascii="Tahoma" w:eastAsia="Tahoma" w:hAnsi="Tahoma" w:cs="Tahoma"/>
          <w:noProof/>
          <w:color w:val="000000"/>
          <w:sz w:val="20"/>
          <w:szCs w:val="20"/>
        </w:rPr>
        <w:t xml:space="preserve"> </w:t>
      </w:r>
      <w:r>
        <w:rPr>
          <w:rFonts w:ascii="Tahoma" w:eastAsia="Tahoma" w:hAnsi="Tahoma" w:cs="Tahoma"/>
          <w:noProof/>
          <w:color w:val="000000"/>
          <w:sz w:val="20"/>
          <w:szCs w:val="20"/>
        </w:rPr>
        <w:fldChar w:fldCharType="begin" w:fldLock="1"/>
      </w:r>
      <w:r>
        <w:rPr>
          <w:rFonts w:ascii="Tahoma" w:eastAsia="Tahoma" w:hAnsi="Tahoma" w:cs="Tahoma"/>
          <w:noProof/>
          <w:color w:val="000000"/>
          <w:sz w:val="20"/>
          <w:szCs w:val="20"/>
        </w:rPr>
        <w:instrText>ADDIN CSL_CITATION {"citationItems":[{"id":"ITEM-1","itemData":{"URL":"https://www.healthypeople.gov/node/3499/2020/topics-objectives/topic/social-determinants- health","author":[{"dropping-particle":"","family":"ODPHP","given":"","non-dropping-particle":"","parse-names":false,"suffix":""}],"id":"ITEM-1","issued":{"date-parts":[["2020"]]},"title":"Social Determinants of Health. Healthy People 2020. 2020 [cited 2022 Jul 31]. p. 2020 Topics &amp; Objectives.","type":"webpage"},"uris":["http://www.mendeley.com/documents/?uuid=f314a3f5-9501-4b3a-b89d-836f813aa096"]}],"mendeley":{"formattedCitation":"(ODPHP, 2020)","plainTextFormattedCitation":"(ODPHP, 2020)","previouslyFormattedCitation":"(ODPHP, 2020)"},"properties":{"noteIndex":0},"schema":"https://github.com/citation-style-language/schema/raw/master/csl-citation.json"}</w:instrText>
      </w:r>
      <w:r>
        <w:rPr>
          <w:rFonts w:ascii="Tahoma" w:eastAsia="Tahoma" w:hAnsi="Tahoma" w:cs="Tahoma"/>
          <w:noProof/>
          <w:color w:val="000000"/>
          <w:sz w:val="20"/>
          <w:szCs w:val="20"/>
        </w:rPr>
        <w:fldChar w:fldCharType="separate"/>
      </w:r>
      <w:r w:rsidRPr="00A43289">
        <w:rPr>
          <w:rFonts w:ascii="Tahoma" w:eastAsia="Tahoma" w:hAnsi="Tahoma" w:cs="Tahoma"/>
          <w:noProof/>
          <w:color w:val="000000"/>
          <w:sz w:val="20"/>
          <w:szCs w:val="20"/>
        </w:rPr>
        <w:t>(ODPHP, 2020)</w:t>
      </w:r>
      <w:r>
        <w:rPr>
          <w:rFonts w:ascii="Tahoma" w:eastAsia="Tahoma" w:hAnsi="Tahoma" w:cs="Tahoma"/>
          <w:noProof/>
          <w:color w:val="000000"/>
          <w:sz w:val="20"/>
          <w:szCs w:val="20"/>
        </w:rPr>
        <w:fldChar w:fldCharType="end"/>
      </w:r>
    </w:p>
    <w:p w14:paraId="6A72AE32" w14:textId="44D47DB2" w:rsidR="006E084B" w:rsidRPr="00007413" w:rsidRDefault="006E084B" w:rsidP="006E084B">
      <w:pPr>
        <w:spacing w:after="0" w:line="240" w:lineRule="auto"/>
        <w:ind w:firstLine="426"/>
        <w:jc w:val="both"/>
        <w:rPr>
          <w:rFonts w:ascii="Tahoma" w:eastAsia="Tahoma" w:hAnsi="Tahoma" w:cs="Tahoma"/>
          <w:noProof/>
          <w:color w:val="000000"/>
          <w:sz w:val="20"/>
          <w:szCs w:val="20"/>
        </w:rPr>
      </w:pPr>
      <w:r w:rsidRPr="00007413">
        <w:rPr>
          <w:rFonts w:ascii="Tahoma" w:eastAsia="Tahoma" w:hAnsi="Tahoma" w:cs="Tahoma"/>
          <w:noProof/>
          <w:color w:val="000000"/>
          <w:sz w:val="20"/>
          <w:szCs w:val="20"/>
        </w:rPr>
        <w:t>The BPJS program is beneficial for the community in terms of accessing health services. However, over time, there has been a discrepancy in the quality of health services provided by BPJS. The program, which was introduced in 2014, has received considerable criticism from the community due to the perceived inadequacy of its services compared to those provided to individuals who seek treatment using public services at their own expense. Despite having a BPJS card, individuals are still required to pay a monthly fee. Furthermore, this payment is also what was previously considered a significant burden for those in lower socioeconomic groups. Health workers are increasingly overwhelmed, and it is likely that the community will attribute the performance of health services and health workers on duty to this burden, despite the fact that it should be acknowledged that the disbursement of BPJS funds is challenging and subject to regulations that must be adhered to by health service providers. Failure to comply with these regulations could ultimately harm the he</w:t>
      </w:r>
      <w:r w:rsidR="00DD6E8D">
        <w:rPr>
          <w:rFonts w:ascii="Tahoma" w:eastAsia="Tahoma" w:hAnsi="Tahoma" w:cs="Tahoma"/>
          <w:noProof/>
          <w:color w:val="000000"/>
          <w:sz w:val="20"/>
          <w:szCs w:val="20"/>
        </w:rPr>
        <w:t>alth service institution itself</w:t>
      </w:r>
      <w:r>
        <w:rPr>
          <w:rFonts w:ascii="Tahoma" w:eastAsia="Tahoma" w:hAnsi="Tahoma" w:cs="Tahoma"/>
          <w:noProof/>
          <w:color w:val="000000"/>
          <w:sz w:val="20"/>
          <w:szCs w:val="20"/>
        </w:rPr>
        <w:t xml:space="preserve"> </w:t>
      </w:r>
      <w:r>
        <w:rPr>
          <w:rFonts w:ascii="Tahoma" w:eastAsia="Tahoma" w:hAnsi="Tahoma" w:cs="Tahoma"/>
          <w:noProof/>
          <w:color w:val="000000"/>
          <w:sz w:val="20"/>
          <w:szCs w:val="20"/>
        </w:rPr>
        <w:fldChar w:fldCharType="begin" w:fldLock="1"/>
      </w:r>
      <w:r>
        <w:rPr>
          <w:rFonts w:ascii="Tahoma" w:eastAsia="Tahoma" w:hAnsi="Tahoma" w:cs="Tahoma"/>
          <w:noProof/>
          <w:color w:val="000000"/>
          <w:sz w:val="20"/>
          <w:szCs w:val="20"/>
        </w:rPr>
        <w:instrText>ADDIN CSL_CITATION {"citationItems":[{"id":"ITEM-1","itemData":{"DOI":"10.1136/bmjpo-2019-000503","ISSN":"2399-9772","abstract":"Inequities have a profound impact on the health and development of children globally. While inequities are greatest in the world’s poorest countries, even in rich nations poorer children have poorer health and developmental outcomes. From birth through childhood to adolescence, morbidity, mortality, growth and development are socially determined, resulting in the most disadvantaged having the highest risk of poor health outcomes. Inequities in childhood impact across the life course. We consider four categories of actions to promote equity: strengthening individuals, strengthening communities, improving living and working conditions, and promoting healthy macropolicies. Inequities can be reduced but action to reduce inequities requires political will. The International Society for Social Paediatrics and Child Health (ISSOP) calls on governments, policy makers, paediatricians and professionals working with children and their organisations to act to reduce child health inequity as a priority. ISSOP recommends the following: governments act to reduce child poverty; ensure rights of all children to healthcare, education and welfare are protected; basic health determinants such as adequate nutrition, clean water and sanitation are available to all children. Paediatric and child health organisations ensure that their members are informed of the impact of inequities on children’s well-being and across the life course; include child health inequities in curricula for professionals in training; publish policy statements relevant to their country on child health inequities; advocate for evidence-based pro-equity interventions using a child rights perspective; advocate for affordable, accessible and quality healthcare for all children; promote research to monitor inequity as well as results of interventions in their child populations. Paediatricians and child health professionals be aware of the impact of social determinants of health on children under their care; ensure their clinical services are accessible and acceptable to all children and families within the constraints of their country’s health services; engage in advocacy at community and national level.","author":[{"dropping-particle":"","family":"Spencer","given":"Nick","non-dropping-particle":"","parse-names":false,"suffix":""},{"dropping-particle":"","family":"Raman","given":"Shanti","non-dropping-particle":"","parse-names":false,"suffix":""},{"dropping-particle":"","family":"O'Hare","given":"Bernadette","non-dropping-particle":"","parse-names":false,"suffix":""},{"dropping-particle":"","family":"Tamburlini","given":"Giorgio","non-dropping-particle":"","parse-names":false,"suffix":""}],"container-title":"BMJ Paediatrics Open","id":"ITEM-1","issue":"1","issued":{"date-parts":[["2019","8","1"]]},"page":"e000503","title":"Addressing inequities in child health and development: towards social justice","type":"article-journal","volume":"3"},"uris":["http://www.mendeley.com/documents/?uuid=b3ed2835-7654-4735-8177-f8fefefd65df"]}],"mendeley":{"formattedCitation":"(Spencer &lt;i&gt;et al.&lt;/i&gt;, 2019)","plainTextFormattedCitation":"(Spencer et al., 2019)","previouslyFormattedCitation":"(Spencer &lt;i&gt;et al.&lt;/i&gt;, 2019)"},"properties":{"noteIndex":0},"schema":"https://github.com/citation-style-language/schema/raw/master/csl-citation.json"}</w:instrText>
      </w:r>
      <w:r>
        <w:rPr>
          <w:rFonts w:ascii="Tahoma" w:eastAsia="Tahoma" w:hAnsi="Tahoma" w:cs="Tahoma"/>
          <w:noProof/>
          <w:color w:val="000000"/>
          <w:sz w:val="20"/>
          <w:szCs w:val="20"/>
        </w:rPr>
        <w:fldChar w:fldCharType="separate"/>
      </w:r>
      <w:r w:rsidRPr="001347C6">
        <w:rPr>
          <w:rFonts w:ascii="Tahoma" w:eastAsia="Tahoma" w:hAnsi="Tahoma" w:cs="Tahoma"/>
          <w:noProof/>
          <w:color w:val="000000"/>
          <w:sz w:val="20"/>
          <w:szCs w:val="20"/>
        </w:rPr>
        <w:t xml:space="preserve">(Spencer </w:t>
      </w:r>
      <w:r w:rsidRPr="001347C6">
        <w:rPr>
          <w:rFonts w:ascii="Tahoma" w:eastAsia="Tahoma" w:hAnsi="Tahoma" w:cs="Tahoma"/>
          <w:i/>
          <w:noProof/>
          <w:color w:val="000000"/>
          <w:sz w:val="20"/>
          <w:szCs w:val="20"/>
        </w:rPr>
        <w:t>et al.</w:t>
      </w:r>
      <w:r w:rsidRPr="001347C6">
        <w:rPr>
          <w:rFonts w:ascii="Tahoma" w:eastAsia="Tahoma" w:hAnsi="Tahoma" w:cs="Tahoma"/>
          <w:noProof/>
          <w:color w:val="000000"/>
          <w:sz w:val="20"/>
          <w:szCs w:val="20"/>
        </w:rPr>
        <w:t>, 2019)</w:t>
      </w:r>
      <w:r>
        <w:rPr>
          <w:rFonts w:ascii="Tahoma" w:eastAsia="Tahoma" w:hAnsi="Tahoma" w:cs="Tahoma"/>
          <w:noProof/>
          <w:color w:val="000000"/>
          <w:sz w:val="20"/>
          <w:szCs w:val="20"/>
        </w:rPr>
        <w:fldChar w:fldCharType="end"/>
      </w:r>
      <w:r w:rsidR="00DD6E8D">
        <w:rPr>
          <w:rFonts w:ascii="Tahoma" w:eastAsia="Tahoma" w:hAnsi="Tahoma" w:cs="Tahoma"/>
          <w:noProof/>
          <w:color w:val="000000"/>
          <w:sz w:val="20"/>
          <w:szCs w:val="20"/>
        </w:rPr>
        <w:t>.</w:t>
      </w:r>
    </w:p>
    <w:p w14:paraId="4C919ABE" w14:textId="0257125F" w:rsidR="006E084B" w:rsidRPr="00007413" w:rsidRDefault="006E084B" w:rsidP="006E084B">
      <w:pPr>
        <w:spacing w:after="0" w:line="240" w:lineRule="auto"/>
        <w:ind w:firstLine="426"/>
        <w:jc w:val="both"/>
        <w:rPr>
          <w:rFonts w:ascii="Tahoma" w:eastAsia="Tahoma" w:hAnsi="Tahoma" w:cs="Tahoma"/>
          <w:noProof/>
          <w:color w:val="000000"/>
          <w:sz w:val="20"/>
          <w:szCs w:val="20"/>
        </w:rPr>
      </w:pPr>
      <w:r w:rsidRPr="00007413">
        <w:rPr>
          <w:rFonts w:ascii="Tahoma" w:eastAsia="Tahoma" w:hAnsi="Tahoma" w:cs="Tahoma"/>
          <w:noProof/>
          <w:color w:val="000000"/>
          <w:sz w:val="20"/>
          <w:szCs w:val="20"/>
        </w:rPr>
        <w:t xml:space="preserve">Indeed, hospital services tend to favor high-income groups, residents in proximity to facilities (cities), and economically privileged groups. Many public hospitals vie </w:t>
      </w:r>
      <w:r w:rsidRPr="00007413">
        <w:rPr>
          <w:rFonts w:ascii="Tahoma" w:eastAsia="Tahoma" w:hAnsi="Tahoma" w:cs="Tahoma"/>
          <w:noProof/>
          <w:color w:val="000000"/>
          <w:sz w:val="20"/>
          <w:szCs w:val="20"/>
        </w:rPr>
        <w:lastRenderedPageBreak/>
        <w:t>to offer VIP class services. Consequently, greater attention is directed towards those with greater financial resources, rather than services classified as Class III, which are perceived by many residents as being of l</w:t>
      </w:r>
      <w:r w:rsidR="00DD6E8D">
        <w:rPr>
          <w:rFonts w:ascii="Tahoma" w:eastAsia="Tahoma" w:hAnsi="Tahoma" w:cs="Tahoma"/>
          <w:noProof/>
          <w:color w:val="000000"/>
          <w:sz w:val="20"/>
          <w:szCs w:val="20"/>
        </w:rPr>
        <w:t>ittle value and of poor quality</w:t>
      </w:r>
      <w:r w:rsidRPr="00007413">
        <w:rPr>
          <w:rFonts w:ascii="Tahoma" w:eastAsia="Tahoma" w:hAnsi="Tahoma" w:cs="Tahoma"/>
          <w:noProof/>
          <w:color w:val="000000"/>
          <w:sz w:val="20"/>
          <w:szCs w:val="20"/>
        </w:rPr>
        <w:t xml:space="preserve"> </w:t>
      </w:r>
      <w:r>
        <w:rPr>
          <w:rFonts w:ascii="Tahoma" w:eastAsia="Tahoma" w:hAnsi="Tahoma" w:cs="Tahoma"/>
          <w:noProof/>
          <w:color w:val="000000"/>
          <w:sz w:val="20"/>
          <w:szCs w:val="20"/>
        </w:rPr>
        <w:fldChar w:fldCharType="begin" w:fldLock="1"/>
      </w:r>
      <w:r>
        <w:rPr>
          <w:rFonts w:ascii="Tahoma" w:eastAsia="Tahoma" w:hAnsi="Tahoma" w:cs="Tahoma"/>
          <w:noProof/>
          <w:color w:val="000000"/>
          <w:sz w:val="20"/>
          <w:szCs w:val="20"/>
        </w:rPr>
        <w:instrText>ADDIN CSL_CITATION {"citationItems":[{"id":"ITEM-1","itemData":{"author":[{"dropping-particle":"","family":"Alfiyyah A","given":"Hasibuan SR.","non-dropping-particle":"","parse-names":false,"suffix":""}],"container-title":"Ikatan Ahli Kesehatan Masyarakat Indonesia; 2022.","id":"ITEM-1","issued":{"date-parts":[["2022"]]},"title":"Disparitas Sosioekonomi dan Geografis Peserta JKN terhadap Akses Kunjungan ke Pelayanan Rawat Jalan tingkat Pertama di 34 Provinsi Indonesia tahun 2019. In: Forum Ilmiah Tahunan IAKMI.","type":"article-journal"},"uris":["http://www.mendeley.com/documents/?uuid=6f608ad1-5664-45df-aadc-120c65187bb4"]}],"mendeley":{"formattedCitation":"(Alfiyyah A, 2022)","plainTextFormattedCitation":"(Alfiyyah A, 2022)","previouslyFormattedCitation":"(Alfiyyah A, 2022)"},"properties":{"noteIndex":0},"schema":"https://github.com/citation-style-language/schema/raw/master/csl-citation.json"}</w:instrText>
      </w:r>
      <w:r>
        <w:rPr>
          <w:rFonts w:ascii="Tahoma" w:eastAsia="Tahoma" w:hAnsi="Tahoma" w:cs="Tahoma"/>
          <w:noProof/>
          <w:color w:val="000000"/>
          <w:sz w:val="20"/>
          <w:szCs w:val="20"/>
        </w:rPr>
        <w:fldChar w:fldCharType="separate"/>
      </w:r>
      <w:r w:rsidRPr="001347C6">
        <w:rPr>
          <w:rFonts w:ascii="Tahoma" w:eastAsia="Tahoma" w:hAnsi="Tahoma" w:cs="Tahoma"/>
          <w:noProof/>
          <w:color w:val="000000"/>
          <w:sz w:val="20"/>
          <w:szCs w:val="20"/>
        </w:rPr>
        <w:t>(Alfiyyah A, 2022)</w:t>
      </w:r>
      <w:r>
        <w:rPr>
          <w:rFonts w:ascii="Tahoma" w:eastAsia="Tahoma" w:hAnsi="Tahoma" w:cs="Tahoma"/>
          <w:noProof/>
          <w:color w:val="000000"/>
          <w:sz w:val="20"/>
          <w:szCs w:val="20"/>
        </w:rPr>
        <w:fldChar w:fldCharType="end"/>
      </w:r>
      <w:r>
        <w:rPr>
          <w:rFonts w:ascii="Tahoma" w:eastAsia="Tahoma" w:hAnsi="Tahoma" w:cs="Tahoma"/>
          <w:noProof/>
          <w:color w:val="000000"/>
          <w:sz w:val="20"/>
          <w:szCs w:val="20"/>
        </w:rPr>
        <w:t xml:space="preserve">. </w:t>
      </w:r>
      <w:r w:rsidRPr="00007413">
        <w:rPr>
          <w:rFonts w:ascii="Tahoma" w:eastAsia="Tahoma" w:hAnsi="Tahoma" w:cs="Tahoma"/>
          <w:noProof/>
          <w:color w:val="000000"/>
          <w:sz w:val="20"/>
          <w:szCs w:val="20"/>
        </w:rPr>
        <w:t>This has led to a situation where even those with relatively limited financial resources are inclined to seek services in expensive private hospitals. The government's bureaucratic structure, staffing system, and payroll system have resulted in public hospital services being perceived as unresponsive to popular demand and of inadequate quality.</w:t>
      </w:r>
    </w:p>
    <w:p w14:paraId="08EA380E" w14:textId="77777777" w:rsidR="006E084B" w:rsidRDefault="006E084B" w:rsidP="006E084B">
      <w:pPr>
        <w:spacing w:after="0" w:line="240" w:lineRule="auto"/>
        <w:ind w:firstLine="426"/>
        <w:jc w:val="both"/>
        <w:rPr>
          <w:rFonts w:ascii="Tahoma" w:eastAsia="Tahoma" w:hAnsi="Tahoma" w:cs="Tahoma"/>
          <w:noProof/>
          <w:color w:val="000000"/>
          <w:sz w:val="20"/>
          <w:szCs w:val="20"/>
        </w:rPr>
      </w:pPr>
      <w:r w:rsidRPr="00007413">
        <w:rPr>
          <w:rFonts w:ascii="Tahoma" w:eastAsia="Tahoma" w:hAnsi="Tahoma" w:cs="Tahoma"/>
          <w:noProof/>
          <w:color w:val="000000"/>
          <w:sz w:val="20"/>
          <w:szCs w:val="20"/>
        </w:rPr>
        <w:t>Consequently, a significant proportion of the population is compelled to utilise the services of private hospitals.</w:t>
      </w:r>
      <w:r>
        <w:rPr>
          <w:rFonts w:ascii="Tahoma" w:eastAsia="Tahoma" w:hAnsi="Tahoma" w:cs="Tahoma"/>
          <w:noProof/>
          <w:color w:val="000000"/>
          <w:sz w:val="20"/>
          <w:szCs w:val="20"/>
        </w:rPr>
        <w:t xml:space="preserve"> </w:t>
      </w:r>
      <w:r w:rsidRPr="00007413">
        <w:rPr>
          <w:rFonts w:ascii="Tahoma" w:eastAsia="Tahoma" w:hAnsi="Tahoma" w:cs="Tahoma"/>
          <w:noProof/>
          <w:color w:val="000000"/>
          <w:sz w:val="20"/>
          <w:szCs w:val="20"/>
        </w:rPr>
        <w:t>In order to generate profit, these institutions provide services that are perceived as beneficial, despite the exorbitant costs associated with them. The general public has no alternative but to accept this situation. Private hospital owners generate substantial profits, whereas not-for-profit private hospitals, which aim to assist the government or underprivileged individuals, face challenges due to inadequate funding and limited government subsidies. Private for-profit hospitals are subject to fewer obligations to serve the poor than not-for-profit hospitals, despite the fact that tax incentives and government assistance for not-for-profit hospitals (such as Islamic hospitals, Catholic hospitals, and other religiously oriented hospitals) are largely similar. This policy encourages individuals to seek profit from inappropriate and unregulated hospital services in Indonesia, which may result in harm to patients or clients.</w:t>
      </w:r>
      <w:r>
        <w:rPr>
          <w:rFonts w:ascii="Tahoma" w:eastAsia="Tahoma" w:hAnsi="Tahoma" w:cs="Tahoma"/>
          <w:noProof/>
          <w:color w:val="000000"/>
          <w:sz w:val="20"/>
          <w:szCs w:val="20"/>
        </w:rPr>
        <w:t xml:space="preserve"> </w:t>
      </w:r>
    </w:p>
    <w:p w14:paraId="1C751A13" w14:textId="1D394E2C" w:rsidR="006E084B" w:rsidRPr="00C92FA0" w:rsidRDefault="006E084B" w:rsidP="006E084B">
      <w:pPr>
        <w:spacing w:after="0" w:line="240" w:lineRule="auto"/>
        <w:ind w:firstLine="426"/>
        <w:jc w:val="both"/>
        <w:rPr>
          <w:rFonts w:ascii="Tahoma" w:eastAsia="Tahoma" w:hAnsi="Tahoma" w:cs="Tahoma"/>
          <w:noProof/>
          <w:color w:val="000000"/>
          <w:sz w:val="20"/>
          <w:szCs w:val="20"/>
        </w:rPr>
      </w:pPr>
      <w:r>
        <w:rPr>
          <w:rFonts w:ascii="Tahoma" w:eastAsia="Tahoma" w:hAnsi="Tahoma" w:cs="Tahoma"/>
          <w:noProof/>
          <w:color w:val="000000"/>
          <w:sz w:val="20"/>
          <w:szCs w:val="20"/>
        </w:rPr>
        <w:t xml:space="preserve">By Survey Kesehatan Indonesia, </w:t>
      </w:r>
      <w:r w:rsidRPr="00C92FA0">
        <w:rPr>
          <w:rFonts w:ascii="Tahoma" w:eastAsia="Tahoma" w:hAnsi="Tahoma" w:cs="Tahoma"/>
          <w:noProof/>
          <w:color w:val="000000"/>
          <w:sz w:val="20"/>
          <w:szCs w:val="20"/>
        </w:rPr>
        <w:t>The existence of health disparities is not a mere coincidence; rather, they are the result of a complex interplay of factors that give rise to differences in health outcomes between cities or between areas within the same city. The challenge of understanding and addressing these disparities is further compounded by the fact that they are not solely contingent on the healthcare system, but also on a multitude of other social, economic, physical, and environmental factors, including education, quality of life, and social issues. In light of this complexity, the World Health Organization (WHO) has identified these interrelated elements as the Socia</w:t>
      </w:r>
      <w:r w:rsidR="00DD6E8D">
        <w:rPr>
          <w:rFonts w:ascii="Tahoma" w:eastAsia="Tahoma" w:hAnsi="Tahoma" w:cs="Tahoma"/>
          <w:noProof/>
          <w:color w:val="000000"/>
          <w:sz w:val="20"/>
          <w:szCs w:val="20"/>
        </w:rPr>
        <w:t>l Determinants of Health (SDOH)</w:t>
      </w:r>
      <w:r>
        <w:rPr>
          <w:rFonts w:ascii="Tahoma" w:eastAsia="Tahoma" w:hAnsi="Tahoma" w:cs="Tahoma"/>
          <w:noProof/>
          <w:color w:val="000000"/>
          <w:sz w:val="20"/>
          <w:szCs w:val="20"/>
        </w:rPr>
        <w:t xml:space="preserve"> </w:t>
      </w:r>
      <w:r>
        <w:rPr>
          <w:rFonts w:ascii="Tahoma" w:eastAsia="Tahoma" w:hAnsi="Tahoma" w:cs="Tahoma"/>
          <w:noProof/>
          <w:color w:val="000000"/>
          <w:sz w:val="20"/>
          <w:szCs w:val="20"/>
        </w:rPr>
        <w:fldChar w:fldCharType="begin" w:fldLock="1"/>
      </w:r>
      <w:r>
        <w:rPr>
          <w:rFonts w:ascii="Tahoma" w:eastAsia="Tahoma" w:hAnsi="Tahoma" w:cs="Tahoma"/>
          <w:noProof/>
          <w:color w:val="000000"/>
          <w:sz w:val="20"/>
          <w:szCs w:val="20"/>
        </w:rPr>
        <w:instrText>ADDIN CSL_CITATION {"citationItems":[{"id":"ITEM-1","itemData":{"author":[{"dropping-particle":"","family":"WHO.","given":"","non-dropping-particle":"","parse-names":false,"suffix":""}],"id":"ITEM-1","issued":{"date-parts":[["2023"]]},"title":"Health Equity [Internet]. Health Topics. 2023 [cited 2023 Sep 26].","type":"webpage"},"uris":["http://www.mendeley.com/documents/?uuid=0230d599-f068-4d41-b1a5-430712f37c67"]}],"mendeley":{"formattedCitation":"(WHO., 2023)","plainTextFormattedCitation":"(WHO., 2023)","previouslyFormattedCitation":"(WHO., 2023)"},"properties":{"noteIndex":0},"schema":"https://github.com/citation-style-language/schema/raw/master/csl-citation.json"}</w:instrText>
      </w:r>
      <w:r>
        <w:rPr>
          <w:rFonts w:ascii="Tahoma" w:eastAsia="Tahoma" w:hAnsi="Tahoma" w:cs="Tahoma"/>
          <w:noProof/>
          <w:color w:val="000000"/>
          <w:sz w:val="20"/>
          <w:szCs w:val="20"/>
        </w:rPr>
        <w:fldChar w:fldCharType="separate"/>
      </w:r>
      <w:r w:rsidRPr="00923CFB">
        <w:rPr>
          <w:rFonts w:ascii="Tahoma" w:eastAsia="Tahoma" w:hAnsi="Tahoma" w:cs="Tahoma"/>
          <w:noProof/>
          <w:color w:val="000000"/>
          <w:sz w:val="20"/>
          <w:szCs w:val="20"/>
        </w:rPr>
        <w:t>(WHO., 2023)</w:t>
      </w:r>
      <w:r>
        <w:rPr>
          <w:rFonts w:ascii="Tahoma" w:eastAsia="Tahoma" w:hAnsi="Tahoma" w:cs="Tahoma"/>
          <w:noProof/>
          <w:color w:val="000000"/>
          <w:sz w:val="20"/>
          <w:szCs w:val="20"/>
        </w:rPr>
        <w:fldChar w:fldCharType="end"/>
      </w:r>
      <w:r w:rsidR="00DD6E8D">
        <w:rPr>
          <w:rFonts w:ascii="Tahoma" w:eastAsia="Tahoma" w:hAnsi="Tahoma" w:cs="Tahoma"/>
          <w:noProof/>
          <w:color w:val="000000"/>
          <w:sz w:val="20"/>
          <w:szCs w:val="20"/>
        </w:rPr>
        <w:t>.</w:t>
      </w:r>
    </w:p>
    <w:p w14:paraId="53760C17" w14:textId="3D99F2C8" w:rsidR="006E084B" w:rsidRPr="00C92FA0" w:rsidRDefault="006E084B" w:rsidP="006E084B">
      <w:pPr>
        <w:spacing w:after="0" w:line="240" w:lineRule="auto"/>
        <w:ind w:firstLine="426"/>
        <w:jc w:val="both"/>
        <w:rPr>
          <w:rFonts w:ascii="Tahoma" w:eastAsia="Tahoma" w:hAnsi="Tahoma" w:cs="Tahoma"/>
          <w:noProof/>
          <w:color w:val="000000"/>
          <w:sz w:val="20"/>
          <w:szCs w:val="20"/>
        </w:rPr>
      </w:pPr>
      <w:r w:rsidRPr="00C92FA0">
        <w:rPr>
          <w:rFonts w:ascii="Tahoma" w:eastAsia="Tahoma" w:hAnsi="Tahoma" w:cs="Tahoma"/>
          <w:noProof/>
          <w:color w:val="000000"/>
          <w:sz w:val="20"/>
          <w:szCs w:val="20"/>
        </w:rPr>
        <w:t>Urban communities exhibit income disparities due to their heterogeneous population, which encompasses individuals with disparate levels of education, skills, and attitudes towards their work. Individuals with higher education and skills are more likely to earn higher incomes. Additionally, individuals with positive attitudes towards work, including those in self-employment roles, are more likely to be active and productive workers, which in turn contributes to higher earnings. Spencer (201</w:t>
      </w:r>
      <w:r>
        <w:rPr>
          <w:rFonts w:ascii="Tahoma" w:eastAsia="Tahoma" w:hAnsi="Tahoma" w:cs="Tahoma"/>
          <w:noProof/>
          <w:color w:val="000000"/>
          <w:sz w:val="20"/>
          <w:szCs w:val="20"/>
        </w:rPr>
        <w:t>9</w:t>
      </w:r>
      <w:r w:rsidRPr="00C92FA0">
        <w:rPr>
          <w:rFonts w:ascii="Tahoma" w:eastAsia="Tahoma" w:hAnsi="Tahoma" w:cs="Tahoma"/>
          <w:noProof/>
          <w:color w:val="000000"/>
          <w:sz w:val="20"/>
          <w:szCs w:val="20"/>
        </w:rPr>
        <w:t>) further asserts that income directly contrib</w:t>
      </w:r>
      <w:r w:rsidR="00DD6E8D">
        <w:rPr>
          <w:rFonts w:ascii="Tahoma" w:eastAsia="Tahoma" w:hAnsi="Tahoma" w:cs="Tahoma"/>
          <w:noProof/>
          <w:color w:val="000000"/>
          <w:sz w:val="20"/>
          <w:szCs w:val="20"/>
        </w:rPr>
        <w:t>utes to child health inequities</w:t>
      </w:r>
      <w:r>
        <w:rPr>
          <w:rFonts w:ascii="Tahoma" w:eastAsia="Tahoma" w:hAnsi="Tahoma" w:cs="Tahoma"/>
          <w:noProof/>
          <w:color w:val="000000"/>
          <w:sz w:val="20"/>
          <w:szCs w:val="20"/>
        </w:rPr>
        <w:t xml:space="preserve"> </w:t>
      </w:r>
      <w:r>
        <w:rPr>
          <w:rFonts w:ascii="Tahoma" w:eastAsia="Tahoma" w:hAnsi="Tahoma" w:cs="Tahoma"/>
          <w:noProof/>
          <w:color w:val="000000"/>
          <w:sz w:val="20"/>
          <w:szCs w:val="20"/>
        </w:rPr>
        <w:fldChar w:fldCharType="begin" w:fldLock="1"/>
      </w:r>
      <w:r>
        <w:rPr>
          <w:rFonts w:ascii="Tahoma" w:eastAsia="Tahoma" w:hAnsi="Tahoma" w:cs="Tahoma"/>
          <w:noProof/>
          <w:color w:val="000000"/>
          <w:sz w:val="20"/>
          <w:szCs w:val="20"/>
        </w:rPr>
        <w:instrText>ADDIN CSL_CITATION {"citationItems":[{"id":"ITEM-1","itemData":{"DOI":"10.1136/bmjpo-2019-000503","ISSN":"2399-9772","abstract":"Inequities have a profound impact on the health and development of children globally. While inequities are greatest in the world’s poorest countries, even in rich nations poorer children have poorer health and developmental outcomes. From birth through childhood to adolescence, morbidity, mortality, growth and development are socially determined, resulting in the most disadvantaged having the highest risk of poor health outcomes. Inequities in childhood impact across the life course. We consider four categories of actions to promote equity: strengthening individuals, strengthening communities, improving living and working conditions, and promoting healthy macropolicies. Inequities can be reduced but action to reduce inequities requires political will. The International Society for Social Paediatrics and Child Health (ISSOP) calls on governments, policy makers, paediatricians and professionals working with children and their organisations to act to reduce child health inequity as a priority. ISSOP recommends the following: governments act to reduce child poverty; ensure rights of all children to healthcare, education and welfare are protected; basic health determinants such as adequate nutrition, clean water and sanitation are available to all children. Paediatric and child health organisations ensure that their members are informed of the impact of inequities on children’s well-being and across the life course; include child health inequities in curricula for professionals in training; publish policy statements relevant to their country on child health inequities; advocate for evidence-based pro-equity interventions using a child rights perspective; advocate for affordable, accessible and quality healthcare for all children; promote research to monitor inequity as well as results of interventions in their child populations. Paediatricians and child health professionals be aware of the impact of social determinants of health on children under their care; ensure their clinical services are accessible and acceptable to all children and families within the constraints of their country’s health services; engage in advocacy at community and national level.","author":[{"dropping-particle":"","family":"Spencer","given":"Nick","non-dropping-particle":"","parse-names":false,"suffix":""},{"dropping-particle":"","family":"Raman","given":"Shanti","non-dropping-particle":"","parse-names":false,"suffix":""},{"dropping-particle":"","family":"O'Hare","given":"Bernadette","non-dropping-particle":"","parse-names":false,"suffix":""},{"dropping-particle":"","family":"Tamburlini","given":"Giorgio","non-dropping-particle":"","parse-names":false,"suffix":""}],"container-title":"BMJ Paediatrics Open","id":"ITEM-1","issue":"1","issued":{"date-parts":[["2019","8","1"]]},"page":"e000503","title":"Addressing inequities in child health and development: towards social justice","type":"article-journal","volume":"3"},"uris":["http://www.mendeley.com/documents/?uuid=b3ed2835-7654-4735-8177-f8fefefd65df"]}],"mendeley":{"formattedCitation":"(Spencer &lt;i&gt;et al.&lt;/i&gt;, 2019)","plainTextFormattedCitation":"(Spencer et al., 2019)","previouslyFormattedCitation":"(Spencer &lt;i&gt;et al.&lt;/i&gt;, 2019)"},"properties":{"noteIndex":0},"schema":"https://github.com/citation-style-language/schema/raw/master/csl-citation.json"}</w:instrText>
      </w:r>
      <w:r>
        <w:rPr>
          <w:rFonts w:ascii="Tahoma" w:eastAsia="Tahoma" w:hAnsi="Tahoma" w:cs="Tahoma"/>
          <w:noProof/>
          <w:color w:val="000000"/>
          <w:sz w:val="20"/>
          <w:szCs w:val="20"/>
        </w:rPr>
        <w:fldChar w:fldCharType="separate"/>
      </w:r>
      <w:r w:rsidRPr="001347C6">
        <w:rPr>
          <w:rFonts w:ascii="Tahoma" w:eastAsia="Tahoma" w:hAnsi="Tahoma" w:cs="Tahoma"/>
          <w:noProof/>
          <w:color w:val="000000"/>
          <w:sz w:val="20"/>
          <w:szCs w:val="20"/>
        </w:rPr>
        <w:t xml:space="preserve">(Spencer </w:t>
      </w:r>
      <w:r w:rsidRPr="001347C6">
        <w:rPr>
          <w:rFonts w:ascii="Tahoma" w:eastAsia="Tahoma" w:hAnsi="Tahoma" w:cs="Tahoma"/>
          <w:i/>
          <w:noProof/>
          <w:color w:val="000000"/>
          <w:sz w:val="20"/>
          <w:szCs w:val="20"/>
        </w:rPr>
        <w:t>et al.</w:t>
      </w:r>
      <w:r w:rsidRPr="001347C6">
        <w:rPr>
          <w:rFonts w:ascii="Tahoma" w:eastAsia="Tahoma" w:hAnsi="Tahoma" w:cs="Tahoma"/>
          <w:noProof/>
          <w:color w:val="000000"/>
          <w:sz w:val="20"/>
          <w:szCs w:val="20"/>
        </w:rPr>
        <w:t>, 2019)</w:t>
      </w:r>
      <w:r>
        <w:rPr>
          <w:rFonts w:ascii="Tahoma" w:eastAsia="Tahoma" w:hAnsi="Tahoma" w:cs="Tahoma"/>
          <w:noProof/>
          <w:color w:val="000000"/>
          <w:sz w:val="20"/>
          <w:szCs w:val="20"/>
        </w:rPr>
        <w:fldChar w:fldCharType="end"/>
      </w:r>
      <w:r w:rsidR="00DD6E8D">
        <w:rPr>
          <w:rFonts w:ascii="Tahoma" w:eastAsia="Tahoma" w:hAnsi="Tahoma" w:cs="Tahoma"/>
          <w:noProof/>
          <w:color w:val="000000"/>
          <w:sz w:val="20"/>
          <w:szCs w:val="20"/>
        </w:rPr>
        <w:t>.</w:t>
      </w:r>
    </w:p>
    <w:p w14:paraId="72BAA93E" w14:textId="36772DCD" w:rsidR="006E084B" w:rsidRPr="00C92FA0" w:rsidRDefault="006E084B" w:rsidP="006E084B">
      <w:pPr>
        <w:spacing w:after="0" w:line="240" w:lineRule="auto"/>
        <w:ind w:firstLine="426"/>
        <w:jc w:val="both"/>
        <w:rPr>
          <w:rFonts w:ascii="Tahoma" w:eastAsia="Tahoma" w:hAnsi="Tahoma" w:cs="Tahoma"/>
          <w:noProof/>
          <w:color w:val="000000"/>
          <w:sz w:val="20"/>
          <w:szCs w:val="20"/>
        </w:rPr>
      </w:pPr>
      <w:r w:rsidRPr="00C92FA0">
        <w:rPr>
          <w:rFonts w:ascii="Tahoma" w:eastAsia="Tahoma" w:hAnsi="Tahoma" w:cs="Tahoma"/>
          <w:noProof/>
          <w:color w:val="000000"/>
          <w:sz w:val="20"/>
          <w:szCs w:val="20"/>
        </w:rPr>
        <w:t xml:space="preserve">A higher income level is associated with greater access to resources, which in turn facilitates the utilization of health services and improves health outcomes. In the aggregate, income is expressed as gross regional domestic product (GRDP), which is a measure of the total value of </w:t>
      </w:r>
      <w:r w:rsidRPr="00C92FA0">
        <w:rPr>
          <w:rFonts w:ascii="Tahoma" w:eastAsia="Tahoma" w:hAnsi="Tahoma" w:cs="Tahoma"/>
          <w:noProof/>
          <w:color w:val="000000"/>
          <w:sz w:val="20"/>
          <w:szCs w:val="20"/>
        </w:rPr>
        <w:t>goods and services produced by a region in a given period of time. A study by Alfiyyah and Hasibuan revealed that GRDP factors contribute to disparities in access to outpatient services for JKN participants. Low income and high dependence on parents result in low access to mental health services among adolescents, as stated by informants involved in a qualitative study cond</w:t>
      </w:r>
      <w:r w:rsidR="00DD6E8D">
        <w:rPr>
          <w:rFonts w:ascii="Tahoma" w:eastAsia="Tahoma" w:hAnsi="Tahoma" w:cs="Tahoma"/>
          <w:noProof/>
          <w:color w:val="000000"/>
          <w:sz w:val="20"/>
          <w:szCs w:val="20"/>
        </w:rPr>
        <w:t>ucted by Setiawan et al. (2023)</w:t>
      </w:r>
      <w:r>
        <w:rPr>
          <w:rFonts w:ascii="Tahoma" w:eastAsia="Tahoma" w:hAnsi="Tahoma" w:cs="Tahoma"/>
          <w:noProof/>
          <w:color w:val="000000"/>
          <w:sz w:val="20"/>
          <w:szCs w:val="20"/>
        </w:rPr>
        <w:t xml:space="preserve"> </w:t>
      </w:r>
      <w:r>
        <w:rPr>
          <w:rFonts w:ascii="Tahoma" w:eastAsia="Tahoma" w:hAnsi="Tahoma" w:cs="Tahoma"/>
          <w:noProof/>
          <w:color w:val="000000"/>
          <w:sz w:val="20"/>
          <w:szCs w:val="20"/>
        </w:rPr>
        <w:fldChar w:fldCharType="begin" w:fldLock="1"/>
      </w:r>
      <w:r>
        <w:rPr>
          <w:rFonts w:ascii="Tahoma" w:eastAsia="Tahoma" w:hAnsi="Tahoma" w:cs="Tahoma"/>
          <w:noProof/>
          <w:color w:val="000000"/>
          <w:sz w:val="20"/>
          <w:szCs w:val="20"/>
        </w:rPr>
        <w:instrText>ADDIN CSL_CITATION {"citationItems":[{"id":"ITEM-1","itemData":{"DOI":"10.58812/jmws.v2i08.579","ISSN":"2964-206X","abstract":"Penelitian ini membahas masalah kesenjangan layanan kesehatan mental di kalangan remaja di Jawa Barat, Indonesia. Melalui pendekatan metode campuran, yang menggabungkan survei kuantitatif dan wawancara kualitatif, penelitian ini meneliti prevalensi masalah kesehatan mental, hambatan dalam mendapatkan layanan, sikap terhadap kesehatan mental, dan pengembangan strategi intervensi yang inovatif. Temuan menunjukkan prevalensi masalah kesehatan mental yang signifikan, termasuk depresi dan kecemasan. Hambatan untuk mendapatkan perawatan meliputi keterbatasan finansial, kesadaran yang rendah, dan kelangkaan tenaga profesional kesehatan mental. Stigma budaya menghalangi pencarian bantuan, yang mencerminkan pentingnya pertimbangan budaya. Strategi intervensi yang diusulkan menekankan pada pendidikan kesehatan mental, keterlibatan masyarakat, layanan yang dapat diakses, dan sumber daya digital. Dengan menjembatani kesenjangan ini, penelitian ini berkontribusi pada peningkatan layanan kesehatan mental dan mengurangi stigma di kalangan remaja di Jawa Barat.","author":[{"dropping-particle":"","family":"Setiawan","given":"Christina Trisnawati","non-dropping-particle":"","parse-names":false,"suffix":""},{"dropping-particle":"","family":"Sijabat","given":"Saut Gracer","non-dropping-particle":"","parse-names":false,"suffix":""},{"dropping-particle":"","family":"Ervan","given":"","non-dropping-particle":"","parse-names":false,"suffix":""},{"dropping-particle":"","family":"Habibi","given":"","non-dropping-particle":"","parse-names":false,"suffix":""}],"container-title":"Jurnal Multidisiplin West Science","id":"ITEM-1","issue":"08","issued":{"date-parts":[["2023","8","29"]]},"title":"Menjembatani Kesenjangan dalam Perawatan Kesehatan Mental: Pendekatan Baru untuk Diagnosis, Pengobatan, dan Pengurangan Stigma","type":"article-journal","volume":"2"},"uris":["http://www.mendeley.com/documents/?uuid=e506c732-fc74-4256-b78b-ba8e963467c1"]}],"mendeley":{"formattedCitation":"(Setiawan &lt;i&gt;et al.&lt;/i&gt;, 2023)","plainTextFormattedCitation":"(Setiawan et al., 2023)","previouslyFormattedCitation":"(Setiawan &lt;i&gt;et al.&lt;/i&gt;, 2023)"},"properties":{"noteIndex":0},"schema":"https://github.com/citation-style-language/schema/raw/master/csl-citation.json"}</w:instrText>
      </w:r>
      <w:r>
        <w:rPr>
          <w:rFonts w:ascii="Tahoma" w:eastAsia="Tahoma" w:hAnsi="Tahoma" w:cs="Tahoma"/>
          <w:noProof/>
          <w:color w:val="000000"/>
          <w:sz w:val="20"/>
          <w:szCs w:val="20"/>
        </w:rPr>
        <w:fldChar w:fldCharType="separate"/>
      </w:r>
      <w:r w:rsidRPr="001347C6">
        <w:rPr>
          <w:rFonts w:ascii="Tahoma" w:eastAsia="Tahoma" w:hAnsi="Tahoma" w:cs="Tahoma"/>
          <w:noProof/>
          <w:color w:val="000000"/>
          <w:sz w:val="20"/>
          <w:szCs w:val="20"/>
        </w:rPr>
        <w:t xml:space="preserve">(Setiawan </w:t>
      </w:r>
      <w:r w:rsidRPr="001347C6">
        <w:rPr>
          <w:rFonts w:ascii="Tahoma" w:eastAsia="Tahoma" w:hAnsi="Tahoma" w:cs="Tahoma"/>
          <w:i/>
          <w:noProof/>
          <w:color w:val="000000"/>
          <w:sz w:val="20"/>
          <w:szCs w:val="20"/>
        </w:rPr>
        <w:t>et al.</w:t>
      </w:r>
      <w:r w:rsidRPr="001347C6">
        <w:rPr>
          <w:rFonts w:ascii="Tahoma" w:eastAsia="Tahoma" w:hAnsi="Tahoma" w:cs="Tahoma"/>
          <w:noProof/>
          <w:color w:val="000000"/>
          <w:sz w:val="20"/>
          <w:szCs w:val="20"/>
        </w:rPr>
        <w:t>, 2023)</w:t>
      </w:r>
      <w:r>
        <w:rPr>
          <w:rFonts w:ascii="Tahoma" w:eastAsia="Tahoma" w:hAnsi="Tahoma" w:cs="Tahoma"/>
          <w:noProof/>
          <w:color w:val="000000"/>
          <w:sz w:val="20"/>
          <w:szCs w:val="20"/>
        </w:rPr>
        <w:fldChar w:fldCharType="end"/>
      </w:r>
      <w:r w:rsidR="00DD6E8D">
        <w:rPr>
          <w:rFonts w:ascii="Tahoma" w:eastAsia="Tahoma" w:hAnsi="Tahoma" w:cs="Tahoma"/>
          <w:noProof/>
          <w:color w:val="000000"/>
          <w:sz w:val="20"/>
          <w:szCs w:val="20"/>
        </w:rPr>
        <w:t>.</w:t>
      </w:r>
    </w:p>
    <w:p w14:paraId="7DFB9606" w14:textId="77777777" w:rsidR="006E084B" w:rsidRPr="00C92FA0" w:rsidRDefault="006E084B" w:rsidP="006E084B">
      <w:pPr>
        <w:spacing w:after="0" w:line="240" w:lineRule="auto"/>
        <w:ind w:firstLine="426"/>
        <w:jc w:val="both"/>
        <w:rPr>
          <w:rFonts w:ascii="Tahoma" w:eastAsia="Tahoma" w:hAnsi="Tahoma" w:cs="Tahoma"/>
          <w:noProof/>
          <w:color w:val="000000"/>
          <w:sz w:val="20"/>
          <w:szCs w:val="20"/>
        </w:rPr>
      </w:pPr>
      <w:r w:rsidRPr="00C92FA0">
        <w:rPr>
          <w:rFonts w:ascii="Tahoma" w:eastAsia="Tahoma" w:hAnsi="Tahoma" w:cs="Tahoma"/>
          <w:noProof/>
          <w:color w:val="000000"/>
          <w:sz w:val="20"/>
          <w:szCs w:val="20"/>
        </w:rPr>
        <w:t>The advancement of a city in terms of</w:t>
      </w:r>
      <w:r>
        <w:rPr>
          <w:rFonts w:ascii="Tahoma" w:eastAsia="Tahoma" w:hAnsi="Tahoma" w:cs="Tahoma"/>
          <w:noProof/>
          <w:color w:val="000000"/>
          <w:sz w:val="20"/>
          <w:szCs w:val="20"/>
        </w:rPr>
        <w:t xml:space="preserve"> </w:t>
      </w:r>
      <w:r w:rsidRPr="00C92FA0">
        <w:rPr>
          <w:rFonts w:ascii="Tahoma" w:eastAsia="Tahoma" w:hAnsi="Tahoma" w:cs="Tahoma"/>
          <w:noProof/>
          <w:color w:val="000000"/>
          <w:sz w:val="20"/>
          <w:szCs w:val="20"/>
        </w:rPr>
        <w:t>industrialization and business activities indirectly contributes to the emergence of health disparities. In urban communities, the prospects for earning or increasing income from the industrial and business sectors vary in accordance with social status. Individuals with superior education, skills, and competencies are more likely to secure income through employment in industry. Those with robust social networks and the resilience and persistence to become entrepreneurs tend to earn higher incomes.</w:t>
      </w:r>
    </w:p>
    <w:p w14:paraId="37B7509A" w14:textId="4150912B" w:rsidR="006E084B" w:rsidRPr="00C92FA0" w:rsidRDefault="006E084B" w:rsidP="006E084B">
      <w:pPr>
        <w:spacing w:after="0" w:line="240" w:lineRule="auto"/>
        <w:ind w:firstLine="426"/>
        <w:jc w:val="both"/>
        <w:rPr>
          <w:rFonts w:ascii="Tahoma" w:eastAsia="Tahoma" w:hAnsi="Tahoma" w:cs="Tahoma"/>
          <w:noProof/>
          <w:color w:val="000000"/>
          <w:sz w:val="20"/>
          <w:szCs w:val="20"/>
        </w:rPr>
      </w:pPr>
      <w:r w:rsidRPr="00C92FA0">
        <w:rPr>
          <w:rFonts w:ascii="Tahoma" w:eastAsia="Tahoma" w:hAnsi="Tahoma" w:cs="Tahoma"/>
          <w:noProof/>
          <w:color w:val="000000"/>
          <w:sz w:val="20"/>
          <w:szCs w:val="20"/>
        </w:rPr>
        <w:t>The geographical conditions in Indonesia are highly variable, with significant differences observed between cities. These geographical factors include altitude, area, length of highway, number of islands, climate, temperature, and wind speed. The unequal distribution of health services across different urban areas is largely shaped by geographic factors. As demonstrated by Alfiyyah and Hasibuan (2022), the disparity in access to basic outpatient care for JKN participants is influenced by two primary geographic variables: the number of islands and the size of the city area. In general, the greater the number of islands and the larger the area of a city, the lower the ac</w:t>
      </w:r>
      <w:r w:rsidR="00DD6E8D">
        <w:rPr>
          <w:rFonts w:ascii="Tahoma" w:eastAsia="Tahoma" w:hAnsi="Tahoma" w:cs="Tahoma"/>
          <w:noProof/>
          <w:color w:val="000000"/>
          <w:sz w:val="20"/>
          <w:szCs w:val="20"/>
        </w:rPr>
        <w:t>cess for JKN participants</w:t>
      </w:r>
      <w:r>
        <w:rPr>
          <w:rFonts w:ascii="Tahoma" w:eastAsia="Tahoma" w:hAnsi="Tahoma" w:cs="Tahoma"/>
          <w:noProof/>
          <w:color w:val="000000"/>
          <w:sz w:val="20"/>
          <w:szCs w:val="20"/>
        </w:rPr>
        <w:t xml:space="preserve"> </w:t>
      </w:r>
      <w:r>
        <w:rPr>
          <w:rFonts w:ascii="Tahoma" w:eastAsia="Tahoma" w:hAnsi="Tahoma" w:cs="Tahoma"/>
          <w:noProof/>
          <w:color w:val="000000"/>
          <w:sz w:val="20"/>
          <w:szCs w:val="20"/>
        </w:rPr>
        <w:fldChar w:fldCharType="begin" w:fldLock="1"/>
      </w:r>
      <w:r>
        <w:rPr>
          <w:rFonts w:ascii="Tahoma" w:eastAsia="Tahoma" w:hAnsi="Tahoma" w:cs="Tahoma"/>
          <w:noProof/>
          <w:color w:val="000000"/>
          <w:sz w:val="20"/>
          <w:szCs w:val="20"/>
        </w:rPr>
        <w:instrText>ADDIN CSL_CITATION {"citationItems":[{"id":"ITEM-1","itemData":{"author":[{"dropping-particle":"","family":"Alfiyyah A","given":"Hasibuan SR.","non-dropping-particle":"","parse-names":false,"suffix":""}],"container-title":"Ikatan Ahli Kesehatan Masyarakat Indonesia; 2022.","id":"ITEM-1","issued":{"date-parts":[["2022"]]},"title":"Disparitas Sosioekonomi dan Geografis Peserta JKN terhadap Akses Kunjungan ke Pelayanan Rawat Jalan tingkat Pertama di 34 Provinsi Indonesia tahun 2019. In: Forum Ilmiah Tahunan IAKMI.","type":"article-journal"},"uris":["http://www.mendeley.com/documents/?uuid=6f608ad1-5664-45df-aadc-120c65187bb4"]}],"mendeley":{"formattedCitation":"(Alfiyyah A, 2022)","plainTextFormattedCitation":"(Alfiyyah A, 2022)","previouslyFormattedCitation":"(Alfiyyah A, 2022)"},"properties":{"noteIndex":0},"schema":"https://github.com/citation-style-language/schema/raw/master/csl-citation.json"}</w:instrText>
      </w:r>
      <w:r>
        <w:rPr>
          <w:rFonts w:ascii="Tahoma" w:eastAsia="Tahoma" w:hAnsi="Tahoma" w:cs="Tahoma"/>
          <w:noProof/>
          <w:color w:val="000000"/>
          <w:sz w:val="20"/>
          <w:szCs w:val="20"/>
        </w:rPr>
        <w:fldChar w:fldCharType="separate"/>
      </w:r>
      <w:r w:rsidRPr="001347C6">
        <w:rPr>
          <w:rFonts w:ascii="Tahoma" w:eastAsia="Tahoma" w:hAnsi="Tahoma" w:cs="Tahoma"/>
          <w:noProof/>
          <w:color w:val="000000"/>
          <w:sz w:val="20"/>
          <w:szCs w:val="20"/>
        </w:rPr>
        <w:t>(Alfiyyah A, 2022)</w:t>
      </w:r>
      <w:r>
        <w:rPr>
          <w:rFonts w:ascii="Tahoma" w:eastAsia="Tahoma" w:hAnsi="Tahoma" w:cs="Tahoma"/>
          <w:noProof/>
          <w:color w:val="000000"/>
          <w:sz w:val="20"/>
          <w:szCs w:val="20"/>
        </w:rPr>
        <w:fldChar w:fldCharType="end"/>
      </w:r>
      <w:r>
        <w:rPr>
          <w:rFonts w:ascii="Tahoma" w:eastAsia="Tahoma" w:hAnsi="Tahoma" w:cs="Tahoma"/>
          <w:noProof/>
          <w:color w:val="000000"/>
          <w:sz w:val="20"/>
          <w:szCs w:val="20"/>
        </w:rPr>
        <w:t>.</w:t>
      </w:r>
    </w:p>
    <w:p w14:paraId="0E9BF77E" w14:textId="77777777" w:rsidR="006E084B" w:rsidRPr="00C92FA0" w:rsidRDefault="006E084B" w:rsidP="006E084B">
      <w:pPr>
        <w:spacing w:after="0" w:line="240" w:lineRule="auto"/>
        <w:ind w:firstLine="426"/>
        <w:jc w:val="both"/>
        <w:rPr>
          <w:rFonts w:ascii="Tahoma" w:eastAsia="Tahoma" w:hAnsi="Tahoma" w:cs="Tahoma"/>
          <w:noProof/>
          <w:color w:val="000000"/>
          <w:sz w:val="20"/>
          <w:szCs w:val="20"/>
        </w:rPr>
      </w:pPr>
      <w:r w:rsidRPr="00C92FA0">
        <w:rPr>
          <w:rFonts w:ascii="Tahoma" w:eastAsia="Tahoma" w:hAnsi="Tahoma" w:cs="Tahoma"/>
          <w:noProof/>
          <w:color w:val="000000"/>
          <w:sz w:val="20"/>
          <w:szCs w:val="20"/>
        </w:rPr>
        <w:t>As both the perpetrator and subject of health problems, the population factor exerts a profound influence on health disparities within communities. When discussing population, the factors taken into consideration are the number, density, composition, and socio-cultural or cultural context. A study of 34 provinces in Indonesia revealed that population density exerts an effect on disparities in access to outpatient visits at primary health care facilities by JKN participants.</w:t>
      </w:r>
    </w:p>
    <w:p w14:paraId="1072648F" w14:textId="37FF17E8" w:rsidR="006E084B" w:rsidRPr="00C92FA0" w:rsidRDefault="006E084B" w:rsidP="006E084B">
      <w:pPr>
        <w:spacing w:after="0" w:line="240" w:lineRule="auto"/>
        <w:ind w:firstLine="426"/>
        <w:jc w:val="both"/>
        <w:rPr>
          <w:rFonts w:ascii="Tahoma" w:eastAsia="Tahoma" w:hAnsi="Tahoma" w:cs="Tahoma"/>
          <w:noProof/>
          <w:color w:val="000000"/>
          <w:sz w:val="20"/>
          <w:szCs w:val="20"/>
        </w:rPr>
      </w:pPr>
      <w:r w:rsidRPr="00C92FA0">
        <w:rPr>
          <w:rFonts w:ascii="Tahoma" w:eastAsia="Tahoma" w:hAnsi="Tahoma" w:cs="Tahoma"/>
          <w:noProof/>
          <w:color w:val="000000"/>
          <w:sz w:val="20"/>
          <w:szCs w:val="20"/>
        </w:rPr>
        <w:t>Education is a significant factor in an individual's cognitive abilities, enabling them to learn and gain insights from diverse experiences. Individuals with higher levels of education tend to demonstrate enhanced abilities to conceptualize health issues. Consequently, regions with a highly educated population are more likely to exhibit superior public health outcomes. Spencer (201</w:t>
      </w:r>
      <w:r>
        <w:rPr>
          <w:rFonts w:ascii="Tahoma" w:eastAsia="Tahoma" w:hAnsi="Tahoma" w:cs="Tahoma"/>
          <w:noProof/>
          <w:color w:val="000000"/>
          <w:sz w:val="20"/>
          <w:szCs w:val="20"/>
        </w:rPr>
        <w:t>9</w:t>
      </w:r>
      <w:r w:rsidRPr="00C92FA0">
        <w:rPr>
          <w:rFonts w:ascii="Tahoma" w:eastAsia="Tahoma" w:hAnsi="Tahoma" w:cs="Tahoma"/>
          <w:noProof/>
          <w:color w:val="000000"/>
          <w:sz w:val="20"/>
          <w:szCs w:val="20"/>
        </w:rPr>
        <w:t xml:space="preserve">) posits that educational factors directly contribute to health inequities in children. Additionally, </w:t>
      </w:r>
      <w:r>
        <w:rPr>
          <w:rFonts w:ascii="Tahoma" w:eastAsia="Tahoma" w:hAnsi="Tahoma" w:cs="Tahoma"/>
          <w:noProof/>
          <w:color w:val="000000"/>
          <w:sz w:val="20"/>
          <w:szCs w:val="20"/>
        </w:rPr>
        <w:t xml:space="preserve">Hastoety, et al., (2018) </w:t>
      </w:r>
      <w:r w:rsidRPr="00C92FA0">
        <w:rPr>
          <w:rFonts w:ascii="Tahoma" w:eastAsia="Tahoma" w:hAnsi="Tahoma" w:cs="Tahoma"/>
          <w:noProof/>
          <w:color w:val="000000"/>
          <w:sz w:val="20"/>
          <w:szCs w:val="20"/>
        </w:rPr>
        <w:t>indicate that the quality of maternal education plays a role in differences in nutritional pr</w:t>
      </w:r>
      <w:r w:rsidR="00DD6E8D">
        <w:rPr>
          <w:rFonts w:ascii="Tahoma" w:eastAsia="Tahoma" w:hAnsi="Tahoma" w:cs="Tahoma"/>
          <w:noProof/>
          <w:color w:val="000000"/>
          <w:sz w:val="20"/>
          <w:szCs w:val="20"/>
        </w:rPr>
        <w:t>oblems in toddlers in a city</w:t>
      </w:r>
      <w:r>
        <w:rPr>
          <w:rFonts w:ascii="Tahoma" w:eastAsia="Tahoma" w:hAnsi="Tahoma" w:cs="Tahoma"/>
          <w:noProof/>
          <w:color w:val="000000"/>
          <w:sz w:val="20"/>
          <w:szCs w:val="20"/>
        </w:rPr>
        <w:t xml:space="preserve"> </w:t>
      </w:r>
      <w:r>
        <w:rPr>
          <w:rFonts w:ascii="Tahoma" w:eastAsia="Tahoma" w:hAnsi="Tahoma" w:cs="Tahoma"/>
          <w:noProof/>
          <w:color w:val="000000"/>
          <w:sz w:val="20"/>
          <w:szCs w:val="20"/>
        </w:rPr>
        <w:fldChar w:fldCharType="begin" w:fldLock="1"/>
      </w:r>
      <w:r>
        <w:rPr>
          <w:rFonts w:ascii="Tahoma" w:eastAsia="Tahoma" w:hAnsi="Tahoma" w:cs="Tahoma"/>
          <w:noProof/>
          <w:color w:val="000000"/>
          <w:sz w:val="20"/>
          <w:szCs w:val="20"/>
        </w:rPr>
        <w:instrText>ADDIN CSL_CITATION {"citationItems":[{"id":"ITEM-1","itemData":{"DOI":"10.22435/mpk.v28i3.219","ISSN":"2338-3445","abstract":"AbstractMalnutrition has a role not only to increase morbidity and mortality, but also to psychosocial aspects and intellectual development. Three criteria for malnutrition are: underweight, stunting and wasting, reflecting both past and present growth failures. Growth failure in children under five that occur simultaneously is strongly influenced by the socio-economic conditions of the family. This analysis discusses how disparities in malnourished children in Indonesia are seen from the socioeconomic dimensions of the household. The analysis was done by using Riskesdas 2013 data that was processed by using the HEAT (Health Equity Assessment Toolkit) program issued by WHO 2016. From the analysis, the prevalence of underweight, stunting and wasting simultaneously CIAF (Composite Index of Anthropometric Failure) was 2.5%. The lower the economy the higher the prevalence of underfive children experiencing CIAF, under-fives with CIAF mostly live in rural areas compared to CIAF children under five living in urban areas. There are still 15 provinces that have a CIAF prevalence higher than the national figure. CIAF toddlers are more prevalent in mothers with lower level education compared to mothers who have a fairly good level of education. CIAF toddlers occur more common at age over 36 months from the age under 36 months. The provincial dimension gives the highest disparity compared to other dimensions. Abstrak Kurang gizi mempunyai peran tidak hanya terhadap bertambahnya angka kesakitan dan kematian, tetapi juga terganggunya aspek psikososial dan perkembangan intelektual. Tiga kriteria kurang gizi yaitu underweight (berat kurang), stunting (pendek), dan wasting (kurus), mencerminkan kegagalan pertumbuhan baik di masa lalu maupun dimasa kini. Kegagalan pertumbuhan pada balita yang terjadi bersamaan sangat dipengaruhi oleh kondisi sosial ekonomi keluarga. Analisis ini membahas bagaimana disparitas pada anak kurang gizi di Indonesia dilihat dari dimensi sosial ekonomi rumah tangga. Analisis dilakukan dengan menggunakan data Riset Kesehatan Dasar (Riskesdas) 2013 yang diolah dengan menggunakan program Health Equity Assessment Toolkit (HEAT) yang dikeluarkan oleh WHO 2016. Dari analisis yang dilakukan prevalensi balita yang mengalami underweight, stunting, dan wasting secara bersamaan Composite Index of Anthropometric Failure (CIAF) (sebesar 2,5%. Semakin rendah status ekonomi rumah tangga semakin tinggi prevalensi balita mengalami CIAF. Balita dengan CIAF lebih…","author":[{"dropping-particle":"","family":"Hastoety","given":"Sri Poedji","non-dropping-particle":"","parse-names":false,"suffix":""},{"dropping-particle":"","family":"Wardhani","given":"Nunik Kusuma","non-dropping-particle":"","parse-names":false,"suffix":""},{"dropping-particle":"","family":"Sihadi","given":"Sihadi","non-dropping-particle":"","parse-names":false,"suffix":""},{"dropping-particle":"","family":"Sari","given":"Kencana","non-dropping-particle":"","parse-names":false,"suffix":""},{"dropping-particle":"","family":"Kumala Putri","given":"Dwi Siska","non-dropping-particle":"","parse-names":false,"suffix":""},{"dropping-particle":"","family":"Rachmalina","given":"Rika","non-dropping-particle":"","parse-names":false,"suffix":""},{"dropping-particle":"","family":"Utami","given":"Nur Handayani","non-dropping-particle":"","parse-names":false,"suffix":""},{"dropping-particle":"","family":"Susilawati","given":"Made Dewi","non-dropping-particle":"","parse-names":false,"suffix":""},{"dropping-particle":"","family":"Chitijani","given":"Reviana","non-dropping-particle":"","parse-names":false,"suffix":""},{"dropping-particle":"","family":"Febriani","given":"Febriani","non-dropping-particle":"","parse-names":false,"suffix":""}],"container-title":"Media Penelitian dan Pengembangan Kesehatan","id":"ITEM-1","issue":"3","issued":{"date-parts":[["2018","12","3"]]},"page":"201-210","title":"Disparitas Balita Kurang Gizi di Indonesia","type":"article-journal","volume":"28"},"uris":["http://www.mendeley.com/documents/?uuid=d23aed2f-47f2-4937-ac71-ab6ee840fcf3"]}],"mendeley":{"formattedCitation":"(Hastoety &lt;i&gt;et al.&lt;/i&gt;, 2018)","plainTextFormattedCitation":"(Hastoety et al., 2018)","previouslyFormattedCitation":"(Hastoety &lt;i&gt;et al.&lt;/i&gt;, 2018)"},"properties":{"noteIndex":0},"schema":"https://github.com/citation-style-language/schema/raw/master/csl-citation.json"}</w:instrText>
      </w:r>
      <w:r>
        <w:rPr>
          <w:rFonts w:ascii="Tahoma" w:eastAsia="Tahoma" w:hAnsi="Tahoma" w:cs="Tahoma"/>
          <w:noProof/>
          <w:color w:val="000000"/>
          <w:sz w:val="20"/>
          <w:szCs w:val="20"/>
        </w:rPr>
        <w:fldChar w:fldCharType="separate"/>
      </w:r>
      <w:r w:rsidRPr="00B74108">
        <w:rPr>
          <w:rFonts w:ascii="Tahoma" w:eastAsia="Tahoma" w:hAnsi="Tahoma" w:cs="Tahoma"/>
          <w:noProof/>
          <w:color w:val="000000"/>
          <w:sz w:val="20"/>
          <w:szCs w:val="20"/>
        </w:rPr>
        <w:t xml:space="preserve">(Hastoety </w:t>
      </w:r>
      <w:r w:rsidRPr="00B74108">
        <w:rPr>
          <w:rFonts w:ascii="Tahoma" w:eastAsia="Tahoma" w:hAnsi="Tahoma" w:cs="Tahoma"/>
          <w:i/>
          <w:noProof/>
          <w:color w:val="000000"/>
          <w:sz w:val="20"/>
          <w:szCs w:val="20"/>
        </w:rPr>
        <w:t>et al.</w:t>
      </w:r>
      <w:r w:rsidRPr="00B74108">
        <w:rPr>
          <w:rFonts w:ascii="Tahoma" w:eastAsia="Tahoma" w:hAnsi="Tahoma" w:cs="Tahoma"/>
          <w:noProof/>
          <w:color w:val="000000"/>
          <w:sz w:val="20"/>
          <w:szCs w:val="20"/>
        </w:rPr>
        <w:t>, 2018)</w:t>
      </w:r>
      <w:r>
        <w:rPr>
          <w:rFonts w:ascii="Tahoma" w:eastAsia="Tahoma" w:hAnsi="Tahoma" w:cs="Tahoma"/>
          <w:noProof/>
          <w:color w:val="000000"/>
          <w:sz w:val="20"/>
          <w:szCs w:val="20"/>
        </w:rPr>
        <w:fldChar w:fldCharType="end"/>
      </w:r>
      <w:r w:rsidR="00DD6E8D">
        <w:rPr>
          <w:rFonts w:ascii="Tahoma" w:eastAsia="Tahoma" w:hAnsi="Tahoma" w:cs="Tahoma"/>
          <w:noProof/>
          <w:color w:val="000000"/>
          <w:sz w:val="20"/>
          <w:szCs w:val="20"/>
        </w:rPr>
        <w:t>.</w:t>
      </w:r>
    </w:p>
    <w:p w14:paraId="0F8875E1" w14:textId="77777777" w:rsidR="006E084B" w:rsidRPr="00C92FA0" w:rsidRDefault="006E084B" w:rsidP="006E084B">
      <w:pPr>
        <w:spacing w:after="0" w:line="240" w:lineRule="auto"/>
        <w:ind w:firstLine="426"/>
        <w:jc w:val="both"/>
        <w:rPr>
          <w:rFonts w:ascii="Tahoma" w:eastAsia="Tahoma" w:hAnsi="Tahoma" w:cs="Tahoma"/>
          <w:noProof/>
          <w:color w:val="000000"/>
          <w:sz w:val="20"/>
          <w:szCs w:val="20"/>
        </w:rPr>
      </w:pPr>
      <w:r w:rsidRPr="00C92FA0">
        <w:rPr>
          <w:rFonts w:ascii="Tahoma" w:eastAsia="Tahoma" w:hAnsi="Tahoma" w:cs="Tahoma"/>
          <w:noProof/>
          <w:color w:val="000000"/>
          <w:sz w:val="20"/>
          <w:szCs w:val="20"/>
        </w:rPr>
        <w:t>Individuals' consumption and expenditure patterns contribute to the disparities observed at the individual and population levels with respect to health problems.</w:t>
      </w:r>
      <w:r>
        <w:rPr>
          <w:rFonts w:ascii="Tahoma" w:eastAsia="Tahoma" w:hAnsi="Tahoma" w:cs="Tahoma"/>
          <w:noProof/>
          <w:color w:val="000000"/>
          <w:sz w:val="20"/>
          <w:szCs w:val="20"/>
        </w:rPr>
        <w:t xml:space="preserve"> </w:t>
      </w:r>
      <w:r w:rsidRPr="00C92FA0">
        <w:rPr>
          <w:rFonts w:ascii="Tahoma" w:eastAsia="Tahoma" w:hAnsi="Tahoma" w:cs="Tahoma"/>
          <w:noProof/>
          <w:color w:val="000000"/>
          <w:sz w:val="20"/>
          <w:szCs w:val="20"/>
        </w:rPr>
        <w:t xml:space="preserve"> Alfiyyah and Hasibuan (2018) have stated that these consumption and expenditure behaviors serve as key determinants of disparities in access to FKTP outpatient services among JKN participants.</w:t>
      </w:r>
    </w:p>
    <w:p w14:paraId="011EE77F" w14:textId="1BCE160A" w:rsidR="006E084B" w:rsidRDefault="006E084B" w:rsidP="006E084B">
      <w:pPr>
        <w:spacing w:after="0" w:line="240" w:lineRule="auto"/>
        <w:ind w:firstLine="426"/>
        <w:jc w:val="both"/>
        <w:rPr>
          <w:rFonts w:ascii="Tahoma" w:eastAsia="Tahoma" w:hAnsi="Tahoma" w:cs="Tahoma"/>
          <w:noProof/>
          <w:color w:val="000000"/>
          <w:sz w:val="20"/>
          <w:szCs w:val="20"/>
        </w:rPr>
      </w:pPr>
      <w:r w:rsidRPr="00C92FA0">
        <w:rPr>
          <w:rFonts w:ascii="Tahoma" w:eastAsia="Tahoma" w:hAnsi="Tahoma" w:cs="Tahoma"/>
          <w:noProof/>
          <w:color w:val="000000"/>
          <w:sz w:val="20"/>
          <w:szCs w:val="20"/>
        </w:rPr>
        <w:lastRenderedPageBreak/>
        <w:t>High consumption and expenditure patterns are indicative of a superior economic status. At the population level, research conducted by Sari et al. (201</w:t>
      </w:r>
      <w:r>
        <w:rPr>
          <w:rFonts w:ascii="Tahoma" w:eastAsia="Tahoma" w:hAnsi="Tahoma" w:cs="Tahoma"/>
          <w:noProof/>
          <w:color w:val="000000"/>
          <w:sz w:val="20"/>
          <w:szCs w:val="20"/>
        </w:rPr>
        <w:t>7</w:t>
      </w:r>
      <w:r w:rsidRPr="00C92FA0">
        <w:rPr>
          <w:rFonts w:ascii="Tahoma" w:eastAsia="Tahoma" w:hAnsi="Tahoma" w:cs="Tahoma"/>
          <w:noProof/>
          <w:color w:val="000000"/>
          <w:sz w:val="20"/>
          <w:szCs w:val="20"/>
        </w:rPr>
        <w:t>) demonstrates that the prevalence of overweight individuals in Indonesia at the provincial level is associated with the economic disparity of the community. An increase in the economic gap is correlated with a rise in the prevalence of overweight individuals within a region. Economic disparity also influences the disparity of Cesarean section</w:t>
      </w:r>
      <w:r w:rsidR="00DD6E8D">
        <w:rPr>
          <w:rFonts w:ascii="Tahoma" w:eastAsia="Tahoma" w:hAnsi="Tahoma" w:cs="Tahoma"/>
          <w:noProof/>
          <w:color w:val="000000"/>
          <w:sz w:val="20"/>
          <w:szCs w:val="20"/>
        </w:rPr>
        <w:t xml:space="preserve"> delivery services in Indonesia</w:t>
      </w:r>
      <w:r>
        <w:rPr>
          <w:rFonts w:ascii="Tahoma" w:eastAsia="Tahoma" w:hAnsi="Tahoma" w:cs="Tahoma"/>
          <w:noProof/>
          <w:color w:val="000000"/>
          <w:sz w:val="20"/>
          <w:szCs w:val="20"/>
        </w:rPr>
        <w:t xml:space="preserve"> </w:t>
      </w:r>
      <w:r>
        <w:rPr>
          <w:rFonts w:ascii="Tahoma" w:eastAsia="Tahoma" w:hAnsi="Tahoma" w:cs="Tahoma"/>
          <w:noProof/>
          <w:color w:val="000000"/>
          <w:sz w:val="20"/>
          <w:szCs w:val="20"/>
        </w:rPr>
        <w:fldChar w:fldCharType="begin" w:fldLock="1"/>
      </w:r>
      <w:r>
        <w:rPr>
          <w:rFonts w:ascii="Tahoma" w:eastAsia="Tahoma" w:hAnsi="Tahoma" w:cs="Tahoma"/>
          <w:noProof/>
          <w:color w:val="000000"/>
          <w:sz w:val="20"/>
          <w:szCs w:val="20"/>
        </w:rPr>
        <w:instrText>ADDIN CSL_CITATION {"citationItems":[{"id":"ITEM-1","itemData":{"DOI":"10.22435/mpk.v26i3.5737.127-136","ISSN":"2338-3445","author":[{"dropping-particle":"","family":"Sari","given":"Kencana","non-dropping-particle":"","parse-names":false,"suffix":""},{"dropping-particle":"","family":"Indirawati","given":"Lely","non-dropping-particle":"","parse-names":false,"suffix":""},{"dropping-particle":"","family":"Utami","given":"Nurhandayani","non-dropping-particle":"","parse-names":false,"suffix":""},{"dropping-particle":"","family":"Amaliah","given":"Nurillah","non-dropping-particle":"","parse-names":false,"suffix":""}],"container-title":"Media Penelitian dan Pengembangan Kesehatan","id":"ITEM-1","issue":"3","issued":{"date-parts":[["2017","1","4"]]},"title":"Peran Kesenjangan Ekonomi terhadap Kejadian Kegemukan","type":"article-journal","volume":"26"},"uris":["http://www.mendeley.com/documents/?uuid=9edf208e-a4f0-4284-9e32-a35ee2b8020e"]}],"mendeley":{"formattedCitation":"(Sari &lt;i&gt;et al.&lt;/i&gt;, 2017)","plainTextFormattedCitation":"(Sari et al., 2017)","previouslyFormattedCitation":"(Sari &lt;i&gt;et al.&lt;/i&gt;, 2017)"},"properties":{"noteIndex":0},"schema":"https://github.com/citation-style-language/schema/raw/master/csl-citation.json"}</w:instrText>
      </w:r>
      <w:r>
        <w:rPr>
          <w:rFonts w:ascii="Tahoma" w:eastAsia="Tahoma" w:hAnsi="Tahoma" w:cs="Tahoma"/>
          <w:noProof/>
          <w:color w:val="000000"/>
          <w:sz w:val="20"/>
          <w:szCs w:val="20"/>
        </w:rPr>
        <w:fldChar w:fldCharType="separate"/>
      </w:r>
      <w:r w:rsidRPr="00B74108">
        <w:rPr>
          <w:rFonts w:ascii="Tahoma" w:eastAsia="Tahoma" w:hAnsi="Tahoma" w:cs="Tahoma"/>
          <w:noProof/>
          <w:color w:val="000000"/>
          <w:sz w:val="20"/>
          <w:szCs w:val="20"/>
        </w:rPr>
        <w:t xml:space="preserve">(Sari </w:t>
      </w:r>
      <w:r w:rsidRPr="00B74108">
        <w:rPr>
          <w:rFonts w:ascii="Tahoma" w:eastAsia="Tahoma" w:hAnsi="Tahoma" w:cs="Tahoma"/>
          <w:i/>
          <w:noProof/>
          <w:color w:val="000000"/>
          <w:sz w:val="20"/>
          <w:szCs w:val="20"/>
        </w:rPr>
        <w:t>et al.</w:t>
      </w:r>
      <w:r w:rsidRPr="00B74108">
        <w:rPr>
          <w:rFonts w:ascii="Tahoma" w:eastAsia="Tahoma" w:hAnsi="Tahoma" w:cs="Tahoma"/>
          <w:noProof/>
          <w:color w:val="000000"/>
          <w:sz w:val="20"/>
          <w:szCs w:val="20"/>
        </w:rPr>
        <w:t>, 2017)</w:t>
      </w:r>
      <w:r>
        <w:rPr>
          <w:rFonts w:ascii="Tahoma" w:eastAsia="Tahoma" w:hAnsi="Tahoma" w:cs="Tahoma"/>
          <w:noProof/>
          <w:color w:val="000000"/>
          <w:sz w:val="20"/>
          <w:szCs w:val="20"/>
        </w:rPr>
        <w:fldChar w:fldCharType="end"/>
      </w:r>
      <w:r w:rsidR="00DD6E8D">
        <w:rPr>
          <w:rFonts w:ascii="Tahoma" w:eastAsia="Tahoma" w:hAnsi="Tahoma" w:cs="Tahoma"/>
          <w:noProof/>
          <w:color w:val="000000"/>
          <w:sz w:val="20"/>
          <w:szCs w:val="20"/>
        </w:rPr>
        <w:t>.</w:t>
      </w:r>
    </w:p>
    <w:p w14:paraId="19A3B3CD" w14:textId="77777777" w:rsidR="006E084B" w:rsidRPr="00B30E5A" w:rsidRDefault="006E084B" w:rsidP="006E084B">
      <w:pPr>
        <w:spacing w:after="0" w:line="240" w:lineRule="auto"/>
        <w:ind w:firstLine="426"/>
        <w:jc w:val="both"/>
        <w:rPr>
          <w:rFonts w:ascii="Tahoma" w:eastAsia="Tahoma" w:hAnsi="Tahoma" w:cs="Tahoma"/>
          <w:noProof/>
          <w:color w:val="000000"/>
          <w:sz w:val="20"/>
          <w:szCs w:val="20"/>
        </w:rPr>
      </w:pPr>
      <w:r w:rsidRPr="00B30E5A">
        <w:rPr>
          <w:rFonts w:ascii="Tahoma" w:eastAsia="Tahoma" w:hAnsi="Tahoma" w:cs="Tahoma"/>
          <w:noProof/>
          <w:color w:val="000000"/>
          <w:sz w:val="20"/>
          <w:szCs w:val="20"/>
        </w:rPr>
        <w:t>Theoretical frameworks or perspectives or community-based approaches to health problems can be classified into two distinct categories: (1) a traditional approach that perceives the community as lacking sufficient understanding of health issues, leading to a tendency to ascribe blame, and (2) a contemporary approach that views the community as having a grasp of health concerns, positioning them as partners in the effort to overcome disease.</w:t>
      </w:r>
    </w:p>
    <w:p w14:paraId="38358FF3" w14:textId="633C4EBF" w:rsidR="006E084B" w:rsidRPr="00B30E5A" w:rsidRDefault="006E084B" w:rsidP="006E084B">
      <w:pPr>
        <w:spacing w:after="0" w:line="240" w:lineRule="auto"/>
        <w:ind w:firstLine="426"/>
        <w:jc w:val="both"/>
        <w:rPr>
          <w:rFonts w:ascii="Tahoma" w:eastAsia="Tahoma" w:hAnsi="Tahoma" w:cs="Tahoma"/>
          <w:noProof/>
          <w:color w:val="000000"/>
          <w:sz w:val="20"/>
          <w:szCs w:val="20"/>
        </w:rPr>
      </w:pPr>
      <w:r w:rsidRPr="00B30E5A">
        <w:rPr>
          <w:rFonts w:ascii="Tahoma" w:eastAsia="Tahoma" w:hAnsi="Tahoma" w:cs="Tahoma"/>
          <w:noProof/>
          <w:color w:val="000000"/>
          <w:sz w:val="20"/>
          <w:szCs w:val="20"/>
        </w:rPr>
        <w:t>Health insurance is a policy initiative introduced by the government with the objective of facilitating access to comprehensive health services or universal health coverage. The implementation of health insurance enables individuals to receive direct services at primary health facilities, eliminating the need for out-of-pocket payments. According to Istiqomah et al. (2023), the guarantee of health services for economically disadvantaged individuals through the Penerima Bantuan Iuran (PBI) program also contributes to reducing disparities in access to s</w:t>
      </w:r>
      <w:r w:rsidR="00DD6E8D">
        <w:rPr>
          <w:rFonts w:ascii="Tahoma" w:eastAsia="Tahoma" w:hAnsi="Tahoma" w:cs="Tahoma"/>
          <w:noProof/>
          <w:color w:val="000000"/>
          <w:sz w:val="20"/>
          <w:szCs w:val="20"/>
        </w:rPr>
        <w:t>uperior quality health services</w:t>
      </w:r>
      <w:r>
        <w:rPr>
          <w:rFonts w:ascii="Tahoma" w:eastAsia="Tahoma" w:hAnsi="Tahoma" w:cs="Tahoma"/>
          <w:noProof/>
          <w:color w:val="000000"/>
          <w:sz w:val="20"/>
          <w:szCs w:val="20"/>
        </w:rPr>
        <w:t xml:space="preserve"> </w:t>
      </w:r>
      <w:r>
        <w:rPr>
          <w:rFonts w:ascii="Tahoma" w:eastAsia="Tahoma" w:hAnsi="Tahoma" w:cs="Tahoma"/>
          <w:noProof/>
          <w:color w:val="000000"/>
          <w:sz w:val="20"/>
          <w:szCs w:val="20"/>
        </w:rPr>
        <w:fldChar w:fldCharType="begin" w:fldLock="1"/>
      </w:r>
      <w:r>
        <w:rPr>
          <w:rFonts w:ascii="Tahoma" w:eastAsia="Tahoma" w:hAnsi="Tahoma" w:cs="Tahoma"/>
          <w:noProof/>
          <w:color w:val="000000"/>
          <w:sz w:val="20"/>
          <w:szCs w:val="20"/>
        </w:rPr>
        <w:instrText>ADDIN CSL_CITATION {"citationItems":[{"id":"ITEM-1","itemData":{"DOI":"10.19184/stoma.v20i1.38596","ISSN":"2442-4935","abstract":"National Health Insurance program changed the pattern of health financing in Indonesia from fee to service system to capitation system. The capitation system is expected to reduce the risk of the community's own health costs and overcome inequalities of health services. The purpose of this literature review is to analyze the implementation of capitation payment system in overcoming health services problems. Although the implementation of NHI in Indonesia helps to equalize health services, there are quite number of problems in implementing NHI with the capitation system, among others, not all of the population is covered as participants, inequality of health facilities, varied quality of health services, health human resources, and management of capitation funds, monitoring, non-optimal referral systems, and varied geographic conditions had potential for widening health inequalities between community groups. Public health services should not only focus on treating individuals who are sick, but can do more important things such as making efforts to prevent and improve health. The capitation payment system is the most effective system for solving health services problems even though its implementation still not optimal and there are several shortcomings that can be fixed.","author":[{"dropping-particle":"","family":"Istiqomah","given":"Alia","non-dropping-particle":"","parse-names":false,"suffix":""},{"dropping-particle":"","family":"Jayanti","given":"Irene Putri","non-dropping-particle":"","parse-names":false,"suffix":""},{"dropping-particle":"","family":"Wijayanti","given":"Ratih","non-dropping-particle":"","parse-names":false,"suffix":""},{"dropping-particle":"","family":"Hidayatullah","given":"Fahmi","non-dropping-particle":"","parse-names":false,"suffix":""},{"dropping-particle":"","family":"Oktadewi","given":"Fitri Diah","non-dropping-particle":"","parse-names":false,"suffix":""}],"container-title":"STOMATOGNATIC - Jurnal Kedokteran Gigi","id":"ITEM-1","issue":"1","issued":{"date-parts":[["2023","3","30"]]},"page":"24","title":"Telaah Artikel: Implementasi Sistem Pembayaran Kapitasi pada Jaminan Kesehatan Nasional sebagai Strategi dalam Mengatasi Kesenjangan Pelayanan Kesehatan","type":"article-journal","volume":"20"},"uris":["http://www.mendeley.com/documents/?uuid=5f0436bd-148e-4e8f-8eb5-fefd9682e0f9"]}],"mendeley":{"formattedCitation":"(Istiqomah &lt;i&gt;et al.&lt;/i&gt;, 2023)","plainTextFormattedCitation":"(Istiqomah et al., 2023)","previouslyFormattedCitation":"(Istiqomah &lt;i&gt;et al.&lt;/i&gt;, 2023)"},"properties":{"noteIndex":0},"schema":"https://github.com/citation-style-language/schema/raw/master/csl-citation.json"}</w:instrText>
      </w:r>
      <w:r>
        <w:rPr>
          <w:rFonts w:ascii="Tahoma" w:eastAsia="Tahoma" w:hAnsi="Tahoma" w:cs="Tahoma"/>
          <w:noProof/>
          <w:color w:val="000000"/>
          <w:sz w:val="20"/>
          <w:szCs w:val="20"/>
        </w:rPr>
        <w:fldChar w:fldCharType="separate"/>
      </w:r>
      <w:r w:rsidRPr="007F02A1">
        <w:rPr>
          <w:rFonts w:ascii="Tahoma" w:eastAsia="Tahoma" w:hAnsi="Tahoma" w:cs="Tahoma"/>
          <w:noProof/>
          <w:color w:val="000000"/>
          <w:sz w:val="20"/>
          <w:szCs w:val="20"/>
        </w:rPr>
        <w:t xml:space="preserve">(Istiqomah </w:t>
      </w:r>
      <w:r w:rsidRPr="007F02A1">
        <w:rPr>
          <w:rFonts w:ascii="Tahoma" w:eastAsia="Tahoma" w:hAnsi="Tahoma" w:cs="Tahoma"/>
          <w:i/>
          <w:noProof/>
          <w:color w:val="000000"/>
          <w:sz w:val="20"/>
          <w:szCs w:val="20"/>
        </w:rPr>
        <w:t>et al.</w:t>
      </w:r>
      <w:r w:rsidRPr="007F02A1">
        <w:rPr>
          <w:rFonts w:ascii="Tahoma" w:eastAsia="Tahoma" w:hAnsi="Tahoma" w:cs="Tahoma"/>
          <w:noProof/>
          <w:color w:val="000000"/>
          <w:sz w:val="20"/>
          <w:szCs w:val="20"/>
        </w:rPr>
        <w:t>, 2023)</w:t>
      </w:r>
      <w:r>
        <w:rPr>
          <w:rFonts w:ascii="Tahoma" w:eastAsia="Tahoma" w:hAnsi="Tahoma" w:cs="Tahoma"/>
          <w:noProof/>
          <w:color w:val="000000"/>
          <w:sz w:val="20"/>
          <w:szCs w:val="20"/>
        </w:rPr>
        <w:fldChar w:fldCharType="end"/>
      </w:r>
      <w:r w:rsidR="00DD6E8D">
        <w:rPr>
          <w:rFonts w:ascii="Tahoma" w:eastAsia="Tahoma" w:hAnsi="Tahoma" w:cs="Tahoma"/>
          <w:noProof/>
          <w:color w:val="000000"/>
          <w:sz w:val="20"/>
          <w:szCs w:val="20"/>
        </w:rPr>
        <w:t>.</w:t>
      </w:r>
    </w:p>
    <w:p w14:paraId="79E01F66" w14:textId="77777777" w:rsidR="006E084B" w:rsidRPr="00B30E5A" w:rsidRDefault="006E084B" w:rsidP="006E084B">
      <w:pPr>
        <w:spacing w:after="0" w:line="240" w:lineRule="auto"/>
        <w:ind w:firstLine="426"/>
        <w:jc w:val="both"/>
        <w:rPr>
          <w:rFonts w:ascii="Tahoma" w:eastAsia="Tahoma" w:hAnsi="Tahoma" w:cs="Tahoma"/>
          <w:noProof/>
          <w:color w:val="000000"/>
          <w:sz w:val="20"/>
          <w:szCs w:val="20"/>
        </w:rPr>
      </w:pPr>
      <w:r w:rsidRPr="00B30E5A">
        <w:rPr>
          <w:rFonts w:ascii="Tahoma" w:eastAsia="Tahoma" w:hAnsi="Tahoma" w:cs="Tahoma"/>
          <w:noProof/>
          <w:color w:val="000000"/>
          <w:sz w:val="20"/>
          <w:szCs w:val="20"/>
        </w:rPr>
        <w:t>The advancement of a region and the dedication of local leaders to regional health concerns significantly influence the accessibility of health facilities within an urban setting. These facilities encompass hospitals, clinics, laboratories, pharmacies, and Posyandu. The quantity of health facilities serves as an indicator that plays a role in regional disparities.</w:t>
      </w:r>
    </w:p>
    <w:p w14:paraId="2621848B" w14:textId="0B8AAAA4" w:rsidR="006E084B" w:rsidRPr="00B30E5A" w:rsidRDefault="006E084B" w:rsidP="006E084B">
      <w:pPr>
        <w:spacing w:after="0" w:line="240" w:lineRule="auto"/>
        <w:ind w:firstLine="426"/>
        <w:jc w:val="both"/>
        <w:rPr>
          <w:rFonts w:ascii="Tahoma" w:eastAsia="Tahoma" w:hAnsi="Tahoma" w:cs="Tahoma"/>
          <w:noProof/>
          <w:color w:val="000000"/>
          <w:sz w:val="20"/>
          <w:szCs w:val="20"/>
        </w:rPr>
      </w:pPr>
      <w:r w:rsidRPr="00B30E5A">
        <w:rPr>
          <w:rFonts w:ascii="Tahoma" w:eastAsia="Tahoma" w:hAnsi="Tahoma" w:cs="Tahoma"/>
          <w:noProof/>
          <w:color w:val="000000"/>
          <w:sz w:val="20"/>
          <w:szCs w:val="20"/>
        </w:rPr>
        <w:t xml:space="preserve">The government formulates health policies with the objective of determining appropriate courses of action and programs to enhance the quality of health services. However, the resulting health policies often have an adverse impact on other groups. In a policy brief prepared by Juanita (2021), the disparity in access to heart disease services is attributed to government governance in the form of placement policies (prioritizing cardiologists who receive educational assistance), incentives, availability of facilities, and availability of services. Consequently, the distribution of heart specialists is uneven across regions due to </w:t>
      </w:r>
      <w:r w:rsidR="00DD6E8D">
        <w:rPr>
          <w:rFonts w:ascii="Tahoma" w:eastAsia="Tahoma" w:hAnsi="Tahoma" w:cs="Tahoma"/>
          <w:noProof/>
          <w:color w:val="000000"/>
          <w:sz w:val="20"/>
          <w:szCs w:val="20"/>
        </w:rPr>
        <w:t>a shortage of medical personnel</w:t>
      </w:r>
      <w:r>
        <w:rPr>
          <w:rFonts w:ascii="Tahoma" w:eastAsia="Tahoma" w:hAnsi="Tahoma" w:cs="Tahoma"/>
          <w:noProof/>
          <w:color w:val="000000"/>
          <w:sz w:val="20"/>
          <w:szCs w:val="20"/>
        </w:rPr>
        <w:t xml:space="preserve"> </w:t>
      </w:r>
      <w:r>
        <w:rPr>
          <w:rFonts w:ascii="Tahoma" w:eastAsia="Tahoma" w:hAnsi="Tahoma" w:cs="Tahoma"/>
          <w:noProof/>
          <w:color w:val="000000"/>
          <w:sz w:val="20"/>
          <w:szCs w:val="20"/>
        </w:rPr>
        <w:fldChar w:fldCharType="begin" w:fldLock="1"/>
      </w:r>
      <w:r>
        <w:rPr>
          <w:rFonts w:ascii="Tahoma" w:eastAsia="Tahoma" w:hAnsi="Tahoma" w:cs="Tahoma"/>
          <w:noProof/>
          <w:color w:val="000000"/>
          <w:sz w:val="20"/>
          <w:szCs w:val="20"/>
        </w:rPr>
        <w:instrText>ADDIN CSL_CITATION {"citationItems":[{"id":"ITEM-1","itemData":{"DOI":"https://doi.org/10.22146/jkki.69490","author":[{"dropping-particle":"","family":"Juanita","given":"","non-dropping-particle":"","parse-names":false,"suffix":""}],"container-title":"Yogyakarta; 2021.","id":"ITEM-1","issued":{"date-parts":[["2021"]]},"title":"Kesenjangan Ketersediaan Layanan Cardiovascular Diseases (CVD) di Sumatera Utara.","type":"article-journal"},"uris":["http://www.mendeley.com/documents/?uuid=7ac6e674-8d74-4aa8-a509-5ff678118e30"]}],"mendeley":{"formattedCitation":"(Juanita, 2021)","plainTextFormattedCitation":"(Juanita, 2021)","previouslyFormattedCitation":"(Juanita, 2021)"},"properties":{"noteIndex":0},"schema":"https://github.com/citation-style-language/schema/raw/master/csl-citation.json"}</w:instrText>
      </w:r>
      <w:r>
        <w:rPr>
          <w:rFonts w:ascii="Tahoma" w:eastAsia="Tahoma" w:hAnsi="Tahoma" w:cs="Tahoma"/>
          <w:noProof/>
          <w:color w:val="000000"/>
          <w:sz w:val="20"/>
          <w:szCs w:val="20"/>
        </w:rPr>
        <w:fldChar w:fldCharType="separate"/>
      </w:r>
      <w:r w:rsidRPr="00C37D2B">
        <w:rPr>
          <w:rFonts w:ascii="Tahoma" w:eastAsia="Tahoma" w:hAnsi="Tahoma" w:cs="Tahoma"/>
          <w:noProof/>
          <w:color w:val="000000"/>
          <w:sz w:val="20"/>
          <w:szCs w:val="20"/>
        </w:rPr>
        <w:t>(Juanita, 2021)</w:t>
      </w:r>
      <w:r>
        <w:rPr>
          <w:rFonts w:ascii="Tahoma" w:eastAsia="Tahoma" w:hAnsi="Tahoma" w:cs="Tahoma"/>
          <w:noProof/>
          <w:color w:val="000000"/>
          <w:sz w:val="20"/>
          <w:szCs w:val="20"/>
        </w:rPr>
        <w:fldChar w:fldCharType="end"/>
      </w:r>
      <w:r w:rsidR="00DD6E8D">
        <w:rPr>
          <w:rFonts w:ascii="Tahoma" w:eastAsia="Tahoma" w:hAnsi="Tahoma" w:cs="Tahoma"/>
          <w:noProof/>
          <w:color w:val="000000"/>
          <w:sz w:val="20"/>
          <w:szCs w:val="20"/>
        </w:rPr>
        <w:t>.</w:t>
      </w:r>
    </w:p>
    <w:p w14:paraId="6EE67EF7" w14:textId="77777777" w:rsidR="006E084B" w:rsidRPr="00B30E5A" w:rsidRDefault="006E084B" w:rsidP="006E084B">
      <w:pPr>
        <w:spacing w:after="0" w:line="240" w:lineRule="auto"/>
        <w:ind w:firstLine="426"/>
        <w:jc w:val="both"/>
        <w:rPr>
          <w:rFonts w:ascii="Tahoma" w:eastAsia="Tahoma" w:hAnsi="Tahoma" w:cs="Tahoma"/>
          <w:noProof/>
          <w:color w:val="000000"/>
          <w:sz w:val="20"/>
          <w:szCs w:val="20"/>
        </w:rPr>
      </w:pPr>
      <w:r w:rsidRPr="00B30E5A">
        <w:rPr>
          <w:rFonts w:ascii="Tahoma" w:eastAsia="Tahoma" w:hAnsi="Tahoma" w:cs="Tahoma"/>
          <w:noProof/>
          <w:color w:val="000000"/>
          <w:sz w:val="20"/>
          <w:szCs w:val="20"/>
        </w:rPr>
        <w:t xml:space="preserve">Access to government-provided services is considered equitable if it is distributed evenly across geographical, social, economic, and community boundaries, as well as in accordance with community needs for health issues. However, the distribution of health facilities between urban areas is not uniform. </w:t>
      </w:r>
    </w:p>
    <w:p w14:paraId="1BA1CBF5" w14:textId="095D0DED" w:rsidR="006E084B" w:rsidRPr="00B30E5A" w:rsidRDefault="006E084B" w:rsidP="006E084B">
      <w:pPr>
        <w:spacing w:after="0" w:line="240" w:lineRule="auto"/>
        <w:ind w:firstLine="426"/>
        <w:jc w:val="both"/>
        <w:rPr>
          <w:rFonts w:ascii="Tahoma" w:eastAsia="Tahoma" w:hAnsi="Tahoma" w:cs="Tahoma"/>
          <w:noProof/>
          <w:color w:val="000000"/>
          <w:sz w:val="20"/>
          <w:szCs w:val="20"/>
        </w:rPr>
      </w:pPr>
      <w:r w:rsidRPr="00B30E5A">
        <w:rPr>
          <w:rFonts w:ascii="Tahoma" w:eastAsia="Tahoma" w:hAnsi="Tahoma" w:cs="Tahoma"/>
          <w:noProof/>
          <w:color w:val="000000"/>
          <w:sz w:val="20"/>
          <w:szCs w:val="20"/>
        </w:rPr>
        <w:t xml:space="preserve">The role of health workers in reducing health problems and improving access to health services is a central factor in this context. The literature indicates that the availability of health workers is a significant </w:t>
      </w:r>
      <w:r w:rsidRPr="00B30E5A">
        <w:rPr>
          <w:rFonts w:ascii="Tahoma" w:eastAsia="Tahoma" w:hAnsi="Tahoma" w:cs="Tahoma"/>
          <w:noProof/>
          <w:color w:val="000000"/>
          <w:sz w:val="20"/>
          <w:szCs w:val="20"/>
        </w:rPr>
        <w:t xml:space="preserve">determinant of urban health disparities. For example, a 2023 study by Setiawan et al. demonstrated that the scarcity of mental health professionals is a primary driver of unequal access to mental healthcare services among adolescents. Additionally, disparities in the distribution of health workers across health centers in eastern Indonesia are evident between regions with differing population densities, poverty </w:t>
      </w:r>
      <w:r w:rsidR="00DD6E8D">
        <w:rPr>
          <w:rFonts w:ascii="Tahoma" w:eastAsia="Tahoma" w:hAnsi="Tahoma" w:cs="Tahoma"/>
          <w:noProof/>
          <w:color w:val="000000"/>
          <w:sz w:val="20"/>
          <w:szCs w:val="20"/>
        </w:rPr>
        <w:t>rates, and urban/rural settings</w:t>
      </w:r>
      <w:r>
        <w:rPr>
          <w:rFonts w:ascii="Tahoma" w:eastAsia="Tahoma" w:hAnsi="Tahoma" w:cs="Tahoma"/>
          <w:noProof/>
          <w:color w:val="000000"/>
          <w:sz w:val="20"/>
          <w:szCs w:val="20"/>
        </w:rPr>
        <w:t xml:space="preserve"> </w:t>
      </w:r>
      <w:r>
        <w:rPr>
          <w:rFonts w:ascii="Tahoma" w:eastAsia="Tahoma" w:hAnsi="Tahoma" w:cs="Tahoma"/>
          <w:noProof/>
          <w:color w:val="000000"/>
          <w:sz w:val="20"/>
          <w:szCs w:val="20"/>
        </w:rPr>
        <w:fldChar w:fldCharType="begin" w:fldLock="1"/>
      </w:r>
      <w:r>
        <w:rPr>
          <w:rFonts w:ascii="Tahoma" w:eastAsia="Tahoma" w:hAnsi="Tahoma" w:cs="Tahoma"/>
          <w:noProof/>
          <w:color w:val="000000"/>
          <w:sz w:val="20"/>
          <w:szCs w:val="20"/>
        </w:rPr>
        <w:instrText>ADDIN CSL_CITATION {"citationItems":[{"id":"ITEM-1","itemData":{"DOI":"10.58812/jmws.v2i08.579","ISSN":"2964-206X","abstract":"Penelitian ini membahas masalah kesenjangan layanan kesehatan mental di kalangan remaja di Jawa Barat, Indonesia. Melalui pendekatan metode campuran, yang menggabungkan survei kuantitatif dan wawancara kualitatif, penelitian ini meneliti prevalensi masalah kesehatan mental, hambatan dalam mendapatkan layanan, sikap terhadap kesehatan mental, dan pengembangan strategi intervensi yang inovatif. Temuan menunjukkan prevalensi masalah kesehatan mental yang signifikan, termasuk depresi dan kecemasan. Hambatan untuk mendapatkan perawatan meliputi keterbatasan finansial, kesadaran yang rendah, dan kelangkaan tenaga profesional kesehatan mental. Stigma budaya menghalangi pencarian bantuan, yang mencerminkan pentingnya pertimbangan budaya. Strategi intervensi yang diusulkan menekankan pada pendidikan kesehatan mental, keterlibatan masyarakat, layanan yang dapat diakses, dan sumber daya digital. Dengan menjembatani kesenjangan ini, penelitian ini berkontribusi pada peningkatan layanan kesehatan mental dan mengurangi stigma di kalangan remaja di Jawa Barat.","author":[{"dropping-particle":"","family":"Setiawan","given":"Christina Trisnawati","non-dropping-particle":"","parse-names":false,"suffix":""},{"dropping-particle":"","family":"Sijabat","given":"Saut Gracer","non-dropping-particle":"","parse-names":false,"suffix":""},{"dropping-particle":"","family":"Ervan","given":"","non-dropping-particle":"","parse-names":false,"suffix":""},{"dropping-particle":"","family":"Habibi","given":"","non-dropping-particle":"","parse-names":false,"suffix":""}],"container-title":"Jurnal Multidisiplin West Science","id":"ITEM-1","issue":"08","issued":{"date-parts":[["2023","8","29"]]},"title":"Menjembatani Kesenjangan dalam Perawatan Kesehatan Mental: Pendekatan Baru untuk Diagnosis, Pengobatan, dan Pengurangan Stigma","type":"article-journal","volume":"2"},"uris":["http://www.mendeley.com/documents/?uuid=e506c732-fc74-4256-b78b-ba8e963467c1"]}],"mendeley":{"formattedCitation":"(Setiawan &lt;i&gt;et al.&lt;/i&gt;, 2023)","plainTextFormattedCitation":"(Setiawan et al., 2023)"},"properties":{"noteIndex":0},"schema":"https://github.com/citation-style-language/schema/raw/master/csl-citation.json"}</w:instrText>
      </w:r>
      <w:r>
        <w:rPr>
          <w:rFonts w:ascii="Tahoma" w:eastAsia="Tahoma" w:hAnsi="Tahoma" w:cs="Tahoma"/>
          <w:noProof/>
          <w:color w:val="000000"/>
          <w:sz w:val="20"/>
          <w:szCs w:val="20"/>
        </w:rPr>
        <w:fldChar w:fldCharType="separate"/>
      </w:r>
      <w:r w:rsidRPr="00AB3C72">
        <w:rPr>
          <w:rFonts w:ascii="Tahoma" w:eastAsia="Tahoma" w:hAnsi="Tahoma" w:cs="Tahoma"/>
          <w:noProof/>
          <w:color w:val="000000"/>
          <w:sz w:val="20"/>
          <w:szCs w:val="20"/>
        </w:rPr>
        <w:t xml:space="preserve">(Setiawan </w:t>
      </w:r>
      <w:r w:rsidRPr="00AB3C72">
        <w:rPr>
          <w:rFonts w:ascii="Tahoma" w:eastAsia="Tahoma" w:hAnsi="Tahoma" w:cs="Tahoma"/>
          <w:i/>
          <w:noProof/>
          <w:color w:val="000000"/>
          <w:sz w:val="20"/>
          <w:szCs w:val="20"/>
        </w:rPr>
        <w:t>et al.</w:t>
      </w:r>
      <w:r w:rsidRPr="00AB3C72">
        <w:rPr>
          <w:rFonts w:ascii="Tahoma" w:eastAsia="Tahoma" w:hAnsi="Tahoma" w:cs="Tahoma"/>
          <w:noProof/>
          <w:color w:val="000000"/>
          <w:sz w:val="20"/>
          <w:szCs w:val="20"/>
        </w:rPr>
        <w:t>, 2023)</w:t>
      </w:r>
      <w:r>
        <w:rPr>
          <w:rFonts w:ascii="Tahoma" w:eastAsia="Tahoma" w:hAnsi="Tahoma" w:cs="Tahoma"/>
          <w:noProof/>
          <w:color w:val="000000"/>
          <w:sz w:val="20"/>
          <w:szCs w:val="20"/>
        </w:rPr>
        <w:fldChar w:fldCharType="end"/>
      </w:r>
      <w:r w:rsidR="00DD6E8D">
        <w:rPr>
          <w:rFonts w:ascii="Tahoma" w:eastAsia="Tahoma" w:hAnsi="Tahoma" w:cs="Tahoma"/>
          <w:noProof/>
          <w:color w:val="000000"/>
          <w:sz w:val="20"/>
          <w:szCs w:val="20"/>
        </w:rPr>
        <w:t>.</w:t>
      </w:r>
    </w:p>
    <w:p w14:paraId="291A4428" w14:textId="661F6A8D" w:rsidR="006E084B" w:rsidRDefault="006E084B" w:rsidP="006E084B">
      <w:pPr>
        <w:spacing w:after="0" w:line="240" w:lineRule="auto"/>
        <w:ind w:firstLine="426"/>
        <w:jc w:val="both"/>
        <w:rPr>
          <w:rFonts w:ascii="Tahoma" w:eastAsia="Tahoma" w:hAnsi="Tahoma" w:cs="Tahoma"/>
          <w:noProof/>
          <w:color w:val="000000"/>
          <w:sz w:val="20"/>
          <w:szCs w:val="20"/>
        </w:rPr>
      </w:pPr>
      <w:r w:rsidRPr="00B30E5A">
        <w:rPr>
          <w:rFonts w:ascii="Tahoma" w:eastAsia="Tahoma" w:hAnsi="Tahoma" w:cs="Tahoma"/>
          <w:noProof/>
          <w:color w:val="000000"/>
          <w:sz w:val="20"/>
          <w:szCs w:val="20"/>
        </w:rPr>
        <w:t>The number of health workers in any given area is indicative of their role in providing community services; areas with a greater population utilizing the services provided by health workers tend to exhibit superior health outcomes. As demonstrated by Nurrizka &amp;amp; Wahyono (2018), districts and cities with lower coverage of delivery by health workers demonstrate a heightened likelihood of ma</w:t>
      </w:r>
      <w:r w:rsidR="00DD6E8D">
        <w:rPr>
          <w:rFonts w:ascii="Tahoma" w:eastAsia="Tahoma" w:hAnsi="Tahoma" w:cs="Tahoma"/>
          <w:noProof/>
          <w:color w:val="000000"/>
          <w:sz w:val="20"/>
          <w:szCs w:val="20"/>
        </w:rPr>
        <w:t>ternal deaths during childbirth</w:t>
      </w:r>
      <w:r>
        <w:rPr>
          <w:rFonts w:ascii="Tahoma" w:eastAsia="Tahoma" w:hAnsi="Tahoma" w:cs="Tahoma"/>
          <w:noProof/>
          <w:color w:val="000000"/>
          <w:sz w:val="20"/>
          <w:szCs w:val="20"/>
        </w:rPr>
        <w:t xml:space="preserve"> </w:t>
      </w:r>
      <w:r>
        <w:rPr>
          <w:rFonts w:ascii="Tahoma" w:eastAsia="Tahoma" w:hAnsi="Tahoma" w:cs="Tahoma"/>
          <w:noProof/>
          <w:color w:val="000000"/>
          <w:sz w:val="20"/>
          <w:szCs w:val="20"/>
        </w:rPr>
        <w:fldChar w:fldCharType="begin" w:fldLock="1"/>
      </w:r>
      <w:r>
        <w:rPr>
          <w:rFonts w:ascii="Tahoma" w:eastAsia="Tahoma" w:hAnsi="Tahoma" w:cs="Tahoma"/>
          <w:noProof/>
          <w:color w:val="000000"/>
          <w:sz w:val="20"/>
          <w:szCs w:val="20"/>
        </w:rPr>
        <w:instrText>ADDIN CSL_CITATION {"citationItems":[{"id":"ITEM-1","itemData":{"DOI":"10.30597/mkmi.v14i2.3630","ISSN":"2356-4067","abstract":"Penelitian ini menganalisis disparitas kematian maternal di Indonesia dengan analisis spasial menggunakan faktor intermediet seperti pelayanan kesehatan maternal, status reproduksi, sosial ekonomi dan demografi.Tujuan penelitian adalah menganalisis secara spasial disparitas kematian maternal, pengaruh dan risiko kematian maternal terhadap faktor intermediet, dan memberikan rekomendasi terhadap masalah kesehatan maternal di Indonesia. Penelitian ini menggunakan desain studi ekologi (studi agrerat), analisis spasial, bivariat, dan multivariat. Unit analisis penelitian adalah kabupaten/kota di seluruh Indonesia. Hasil penelitian menunjukkan terjadi disparitas kematian maternal yang diakibatkan kesenjangan faktor intermediet antara kabupaten/kota di Indonesia, dengan risiko kematian maternal tertinggi terjadi di wilayah Indonesia timur. Faktor yang paling mempengaruhi kematian maternal adalah kepadatan penduduk dengan OR: 0,283 (95%CI: 0,185-0,430) dan persalinan oleh tenaga kesehatan (PN) dengan OR: 1,745 (95%CI: 1,081-2,815). Risiko kematian maternal tinggi terjadi pada kabupaten/kota dengan cakupan kunjungan kehamilan keempat (K4) rendah, cakupan persalinan oleh tenaga kesehatan (PN) rendah, cakupan kunjungan nifas (KF) rendah, rata-rata jumlah anak tinggi, rata-rata lama sekolah wanita usia subur rendah, dan kemiskinan tinggi.","author":[{"dropping-particle":"","family":"Nurrizka","given":"Rahmah Hida","non-dropping-particle":"","parse-names":false,"suffix":""},{"dropping-particle":"","family":"Wahyono","given":"Tri Yunis Miko","non-dropping-particle":"","parse-names":false,"suffix":""}],"container-title":"Media Kesehatan Masyarakat Indonesia","id":"ITEM-1","issue":"2","issued":{"date-parts":[["2018","6","16"]]},"page":"119","title":"Disparitas Kematian Maternal di Indonesia: Studi Ekologi dengan Analisis Spasial","type":"article-journal","volume":"14"},"uris":["http://www.mendeley.com/documents/?uuid=1d258032-3e1b-491e-ade1-108fcbde3487"]}],"mendeley":{"formattedCitation":"(Nurrizka and Wahyono, 2018)","plainTextFormattedCitation":"(Nurrizka and Wahyono, 2018)","previouslyFormattedCitation":"(Nurrizka and Wahyono, 2018)"},"properties":{"noteIndex":0},"schema":"https://github.com/citation-style-language/schema/raw/master/csl-citation.json"}</w:instrText>
      </w:r>
      <w:r>
        <w:rPr>
          <w:rFonts w:ascii="Tahoma" w:eastAsia="Tahoma" w:hAnsi="Tahoma" w:cs="Tahoma"/>
          <w:noProof/>
          <w:color w:val="000000"/>
          <w:sz w:val="20"/>
          <w:szCs w:val="20"/>
        </w:rPr>
        <w:fldChar w:fldCharType="separate"/>
      </w:r>
      <w:r w:rsidRPr="00AB3C72">
        <w:rPr>
          <w:rFonts w:ascii="Tahoma" w:eastAsia="Tahoma" w:hAnsi="Tahoma" w:cs="Tahoma"/>
          <w:noProof/>
          <w:color w:val="000000"/>
          <w:sz w:val="20"/>
          <w:szCs w:val="20"/>
        </w:rPr>
        <w:t>(Nurrizka and Wahyono, 2018)</w:t>
      </w:r>
      <w:r>
        <w:rPr>
          <w:rFonts w:ascii="Tahoma" w:eastAsia="Tahoma" w:hAnsi="Tahoma" w:cs="Tahoma"/>
          <w:noProof/>
          <w:color w:val="000000"/>
          <w:sz w:val="20"/>
          <w:szCs w:val="20"/>
        </w:rPr>
        <w:fldChar w:fldCharType="end"/>
      </w:r>
      <w:r w:rsidR="00A84531">
        <w:rPr>
          <w:rFonts w:ascii="Tahoma" w:eastAsia="Tahoma" w:hAnsi="Tahoma" w:cs="Tahoma"/>
          <w:noProof/>
          <w:color w:val="000000"/>
          <w:sz w:val="20"/>
          <w:szCs w:val="20"/>
        </w:rPr>
        <w:t>.</w:t>
      </w:r>
    </w:p>
    <w:p w14:paraId="4E637F53" w14:textId="3383902B" w:rsidR="00A84531" w:rsidRDefault="00A84531" w:rsidP="006E084B">
      <w:pPr>
        <w:spacing w:after="0" w:line="240" w:lineRule="auto"/>
        <w:ind w:firstLine="426"/>
        <w:jc w:val="both"/>
        <w:rPr>
          <w:rFonts w:ascii="Tahoma" w:eastAsia="Tahoma" w:hAnsi="Tahoma" w:cs="Tahoma"/>
          <w:noProof/>
          <w:color w:val="000000"/>
          <w:sz w:val="20"/>
          <w:szCs w:val="20"/>
        </w:rPr>
      </w:pPr>
      <w:r w:rsidRPr="00A84531">
        <w:rPr>
          <w:rFonts w:ascii="Tahoma" w:eastAsia="Tahoma" w:hAnsi="Tahoma" w:cs="Tahoma"/>
          <w:noProof/>
          <w:color w:val="000000"/>
          <w:sz w:val="20"/>
          <w:szCs w:val="20"/>
        </w:rPr>
        <w:t>The limitation of this research is that the research location is constrained to a single region with a multiplicity of cultural conditions and community life. Consequently, the research is confined to an examination of the conditions of health service injustice in the region. It should be noted that conditions in each region and area will be markedly disparate, contingent upon the cultural conditions and the availability of health services.</w:t>
      </w:r>
    </w:p>
    <w:p w14:paraId="6FB57750" w14:textId="77777777" w:rsidR="006E084B" w:rsidRPr="002B66F8" w:rsidRDefault="006E084B" w:rsidP="006E084B">
      <w:pPr>
        <w:spacing w:after="0" w:line="240" w:lineRule="auto"/>
        <w:rPr>
          <w:rFonts w:ascii="Times New Roman" w:eastAsia="Times New Roman" w:hAnsi="Times New Roman" w:cs="Times New Roman"/>
          <w:noProof/>
          <w:sz w:val="24"/>
          <w:szCs w:val="24"/>
        </w:rPr>
      </w:pPr>
    </w:p>
    <w:p w14:paraId="1FAF2E87" w14:textId="77777777" w:rsidR="006E084B" w:rsidRPr="002B66F8" w:rsidRDefault="006E084B" w:rsidP="006E084B">
      <w:pPr>
        <w:spacing w:after="0" w:line="240" w:lineRule="auto"/>
        <w:jc w:val="both"/>
        <w:rPr>
          <w:rFonts w:ascii="Times New Roman" w:eastAsia="Times New Roman" w:hAnsi="Times New Roman" w:cs="Times New Roman"/>
          <w:noProof/>
          <w:sz w:val="24"/>
          <w:szCs w:val="24"/>
        </w:rPr>
      </w:pPr>
      <w:r>
        <w:rPr>
          <w:rFonts w:ascii="Tahoma" w:eastAsia="Tahoma" w:hAnsi="Tahoma" w:cs="Tahoma"/>
          <w:b/>
          <w:noProof/>
          <w:color w:val="000000"/>
          <w:sz w:val="20"/>
          <w:szCs w:val="20"/>
        </w:rPr>
        <w:t>CONCLUSION</w:t>
      </w:r>
    </w:p>
    <w:p w14:paraId="61EF0859" w14:textId="3A585C5D" w:rsidR="006E084B" w:rsidRDefault="00A84531" w:rsidP="00A84531">
      <w:pPr>
        <w:spacing w:after="0" w:line="240" w:lineRule="auto"/>
        <w:ind w:firstLine="426"/>
        <w:jc w:val="both"/>
        <w:rPr>
          <w:rFonts w:ascii="Tahoma" w:eastAsia="Times New Roman" w:hAnsi="Tahoma" w:cs="Tahoma"/>
          <w:noProof/>
          <w:sz w:val="20"/>
          <w:szCs w:val="20"/>
        </w:rPr>
      </w:pPr>
      <w:r w:rsidRPr="00A84531">
        <w:rPr>
          <w:rFonts w:ascii="Tahoma" w:eastAsia="Times New Roman" w:hAnsi="Tahoma" w:cs="Tahoma"/>
          <w:noProof/>
          <w:sz w:val="20"/>
          <w:szCs w:val="20"/>
        </w:rPr>
        <w:t xml:space="preserve">The issue of healthcare disparities across Indonesia is a multifaceted one, with numerous factors contributing to its persistence. Subjective and objective disparities, including imbalances in the distribution of health facilities and personnel across different regions, frequently manifest in remote and less developed areas, where access to fundamental health services remains severely constrained. This is evidenced by the continued scarcity of access to fundamental health services. Furthermore, disparities in the availability and quality of human resources in the health sector have been identified as a contributing factor at the community level. As a consequence of the unequal distribution of health workers, some regions are experiencing a shortage of qualified personnel, including doctors, nurses, and other medical personnel. This has a direct impact on the region's capacity to provide adequate and equitable health services to all levels of society. Socioeconomic factors also contribute to this disparity. Those who are economically disadvantaged are more likely to have restricted access to quality health services. Furthermore, this disparity is frequently exacerbated by inadequate levels of education and a dearth of awareness regarding the significance of health and disease prevention. The complexity of this issue necessitates the implementation of policies founded upon a comprehensive analysis of the disparities. The aim of these policies should be the reduction of disparities by optimizing the distribution of health facilities and personnel, as well as improving accessibility to health services for all socioeconomic strata. Potential strategies for advancement include the enhancement of health </w:t>
      </w:r>
      <w:r w:rsidRPr="00A84531">
        <w:rPr>
          <w:rFonts w:ascii="Tahoma" w:eastAsia="Times New Roman" w:hAnsi="Tahoma" w:cs="Tahoma"/>
          <w:noProof/>
          <w:sz w:val="20"/>
          <w:szCs w:val="20"/>
        </w:rPr>
        <w:lastRenderedPageBreak/>
        <w:t>infrastructure in remote and underserved areas and the introduction of incentives to encourage health workers to engage in service in disadvantaged communities. Moreover, health services should be provided irrespective of the socioeconomic status of the community.</w:t>
      </w:r>
    </w:p>
    <w:p w14:paraId="2046E944" w14:textId="77777777" w:rsidR="00A84531" w:rsidRPr="00A84531" w:rsidRDefault="00A84531" w:rsidP="00A84531">
      <w:pPr>
        <w:spacing w:after="0" w:line="240" w:lineRule="auto"/>
        <w:ind w:firstLine="426"/>
        <w:jc w:val="both"/>
        <w:rPr>
          <w:rFonts w:ascii="Tahoma" w:eastAsia="Times New Roman" w:hAnsi="Tahoma" w:cs="Tahoma"/>
          <w:noProof/>
          <w:sz w:val="20"/>
          <w:szCs w:val="20"/>
        </w:rPr>
      </w:pPr>
    </w:p>
    <w:p w14:paraId="2A202476" w14:textId="77777777" w:rsidR="006E084B" w:rsidRPr="002B66F8" w:rsidRDefault="006E084B" w:rsidP="006E084B">
      <w:pPr>
        <w:spacing w:after="0" w:line="240" w:lineRule="auto"/>
        <w:jc w:val="both"/>
        <w:rPr>
          <w:rFonts w:ascii="Times New Roman" w:eastAsia="Times New Roman" w:hAnsi="Times New Roman" w:cs="Times New Roman"/>
          <w:noProof/>
          <w:sz w:val="24"/>
          <w:szCs w:val="24"/>
        </w:rPr>
      </w:pPr>
      <w:r>
        <w:rPr>
          <w:rFonts w:ascii="Tahoma" w:eastAsia="Tahoma" w:hAnsi="Tahoma" w:cs="Tahoma"/>
          <w:b/>
          <w:noProof/>
          <w:color w:val="000000"/>
          <w:sz w:val="20"/>
          <w:szCs w:val="20"/>
        </w:rPr>
        <w:t>RECOMENDATION</w:t>
      </w:r>
    </w:p>
    <w:p w14:paraId="2E238C73" w14:textId="77777777" w:rsidR="006E084B" w:rsidRDefault="006E084B" w:rsidP="006E084B">
      <w:pPr>
        <w:spacing w:after="0" w:line="240" w:lineRule="auto"/>
        <w:jc w:val="both"/>
        <w:rPr>
          <w:rFonts w:ascii="Tahoma" w:eastAsia="Tahoma" w:hAnsi="Tahoma" w:cs="Tahoma"/>
          <w:noProof/>
          <w:color w:val="000000"/>
          <w:sz w:val="20"/>
          <w:szCs w:val="20"/>
        </w:rPr>
      </w:pPr>
      <w:r w:rsidRPr="00082B90">
        <w:rPr>
          <w:rFonts w:ascii="Tahoma" w:eastAsia="Tahoma" w:hAnsi="Tahoma" w:cs="Tahoma"/>
          <w:noProof/>
          <w:color w:val="000000"/>
          <w:sz w:val="20"/>
          <w:szCs w:val="20"/>
        </w:rPr>
        <w:t>The following recommendations and suggestions for research are intended to expand the subject matter and objects of study with the goal of obtaining results regarding disparities in health services, thereby providing a potential means of implementing these findings into the provision of health services themselves.</w:t>
      </w:r>
      <w:r w:rsidRPr="002B66F8">
        <w:rPr>
          <w:rFonts w:ascii="Tahoma" w:eastAsia="Tahoma" w:hAnsi="Tahoma" w:cs="Tahoma"/>
          <w:noProof/>
          <w:color w:val="000000"/>
          <w:sz w:val="20"/>
          <w:szCs w:val="20"/>
        </w:rPr>
        <w:t> </w:t>
      </w:r>
    </w:p>
    <w:p w14:paraId="24CFD97E" w14:textId="77777777" w:rsidR="006E084B" w:rsidRPr="002B66F8" w:rsidRDefault="006E084B" w:rsidP="006E084B">
      <w:pPr>
        <w:spacing w:after="0" w:line="240" w:lineRule="auto"/>
        <w:jc w:val="both"/>
        <w:rPr>
          <w:rFonts w:ascii="Times New Roman" w:eastAsia="Times New Roman" w:hAnsi="Times New Roman" w:cs="Times New Roman"/>
          <w:noProof/>
          <w:sz w:val="24"/>
          <w:szCs w:val="24"/>
        </w:rPr>
      </w:pPr>
    </w:p>
    <w:p w14:paraId="54D775B6" w14:textId="77777777" w:rsidR="006E084B" w:rsidRPr="002B66F8" w:rsidRDefault="006E084B" w:rsidP="006E084B">
      <w:pPr>
        <w:spacing w:after="0" w:line="240" w:lineRule="auto"/>
        <w:jc w:val="both"/>
        <w:rPr>
          <w:rFonts w:ascii="Times New Roman" w:eastAsia="Times New Roman" w:hAnsi="Times New Roman" w:cs="Times New Roman"/>
          <w:noProof/>
          <w:sz w:val="24"/>
          <w:szCs w:val="24"/>
        </w:rPr>
      </w:pPr>
      <w:r>
        <w:rPr>
          <w:rFonts w:ascii="Tahoma" w:eastAsia="Tahoma" w:hAnsi="Tahoma" w:cs="Tahoma"/>
          <w:b/>
          <w:noProof/>
          <w:color w:val="000000"/>
          <w:sz w:val="20"/>
          <w:szCs w:val="20"/>
        </w:rPr>
        <w:t>REFERENCES</w:t>
      </w:r>
    </w:p>
    <w:p w14:paraId="68CBB722" w14:textId="77777777" w:rsidR="006E084B" w:rsidRDefault="006E084B" w:rsidP="006E084B">
      <w:pPr>
        <w:spacing w:after="0" w:line="240" w:lineRule="auto"/>
        <w:ind w:left="567" w:hanging="567"/>
        <w:jc w:val="both"/>
        <w:rPr>
          <w:rFonts w:ascii="Tahoma" w:eastAsia="Tahoma" w:hAnsi="Tahoma" w:cs="Tahoma"/>
          <w:noProof/>
          <w:color w:val="000000"/>
          <w:sz w:val="20"/>
          <w:szCs w:val="20"/>
        </w:rPr>
      </w:pPr>
      <w:r w:rsidRPr="0040213E">
        <w:rPr>
          <w:rFonts w:ascii="Tahoma" w:eastAsia="Tahoma" w:hAnsi="Tahoma" w:cs="Tahoma"/>
          <w:noProof/>
          <w:color w:val="000000"/>
          <w:sz w:val="20"/>
          <w:szCs w:val="20"/>
        </w:rPr>
        <w:t>Alfiyyah A, H.S. (2022) ‘Disparitas Sosioekonomi dan Geografis Peserta JKN terhadap Akses Kunjungan ke Pelayanan Rawat Jalan tingkat Pertama di 34 Provinsi Indonesia tahun 2019. In: Forum Ilmiah Tahunan IAKMI.’, Ikatan Ahli Kesehatan Masyarakat Indonesia; 2022. [Preprint].</w:t>
      </w:r>
    </w:p>
    <w:p w14:paraId="6A3D8265" w14:textId="1D4599A8" w:rsidR="006E084B" w:rsidRDefault="006E084B" w:rsidP="00D2214C">
      <w:pPr>
        <w:spacing w:after="0" w:line="240" w:lineRule="auto"/>
        <w:ind w:left="567" w:hanging="567"/>
        <w:jc w:val="both"/>
        <w:rPr>
          <w:rFonts w:ascii="Tahoma" w:eastAsia="Tahoma" w:hAnsi="Tahoma" w:cs="Tahoma"/>
          <w:noProof/>
          <w:color w:val="000000"/>
          <w:sz w:val="20"/>
          <w:szCs w:val="20"/>
        </w:rPr>
      </w:pPr>
      <w:r w:rsidRPr="0040213E">
        <w:rPr>
          <w:rFonts w:ascii="Tahoma" w:eastAsia="Tahoma" w:hAnsi="Tahoma" w:cs="Tahoma"/>
          <w:noProof/>
          <w:color w:val="000000"/>
          <w:sz w:val="20"/>
          <w:szCs w:val="20"/>
        </w:rPr>
        <w:t xml:space="preserve">Bambi, J. et al. (2024) ‘Patterns of Service Utilization across the Full Continuum of Care: Using Patient Journeys to Assess Disparities in Access to Health Services’, Knowledge, 4(2), pp. 252–264. </w:t>
      </w:r>
      <w:r w:rsidR="00D2214C" w:rsidRPr="007113E0">
        <w:rPr>
          <w:rFonts w:ascii="Tahoma" w:hAnsi="Tahoma" w:cs="Tahoma"/>
          <w:noProof/>
          <w:sz w:val="20"/>
          <w:szCs w:val="24"/>
          <w:lang w:val="en-US"/>
        </w:rPr>
        <w:t>[</w:t>
      </w:r>
      <w:hyperlink r:id="rId13" w:history="1">
        <w:r w:rsidR="00D2214C" w:rsidRPr="007113E0">
          <w:rPr>
            <w:rStyle w:val="Hyperlink"/>
            <w:rFonts w:ascii="Tahoma" w:hAnsi="Tahoma" w:cs="Tahoma"/>
            <w:noProof/>
            <w:sz w:val="20"/>
            <w:szCs w:val="24"/>
            <w:lang w:val="en-US"/>
          </w:rPr>
          <w:t>Crossref</w:t>
        </w:r>
      </w:hyperlink>
      <w:r w:rsidR="00D2214C" w:rsidRPr="007113E0">
        <w:rPr>
          <w:rFonts w:ascii="Tahoma" w:hAnsi="Tahoma" w:cs="Tahoma"/>
          <w:noProof/>
          <w:sz w:val="20"/>
          <w:szCs w:val="24"/>
          <w:lang w:val="en-US"/>
        </w:rPr>
        <w:t>], [</w:t>
      </w:r>
      <w:hyperlink r:id="rId14" w:history="1">
        <w:r w:rsidR="00D2214C" w:rsidRPr="007113E0">
          <w:rPr>
            <w:rStyle w:val="Hyperlink"/>
            <w:rFonts w:ascii="Tahoma" w:hAnsi="Tahoma" w:cs="Tahoma"/>
            <w:noProof/>
            <w:sz w:val="20"/>
            <w:szCs w:val="24"/>
            <w:lang w:val="en-US"/>
          </w:rPr>
          <w:t>Publisher</w:t>
        </w:r>
      </w:hyperlink>
      <w:r w:rsidR="00D2214C" w:rsidRPr="007113E0">
        <w:rPr>
          <w:rFonts w:ascii="Tahoma" w:hAnsi="Tahoma" w:cs="Tahoma"/>
          <w:noProof/>
          <w:sz w:val="20"/>
          <w:szCs w:val="24"/>
          <w:lang w:val="en-US"/>
        </w:rPr>
        <w:t>]</w:t>
      </w:r>
    </w:p>
    <w:p w14:paraId="54C03DDF" w14:textId="08DFB81D" w:rsidR="006E084B" w:rsidRDefault="006E084B" w:rsidP="00D2214C">
      <w:pPr>
        <w:spacing w:after="0" w:line="240" w:lineRule="auto"/>
        <w:ind w:left="567" w:hanging="567"/>
        <w:jc w:val="both"/>
        <w:rPr>
          <w:rFonts w:ascii="Tahoma" w:eastAsia="Tahoma" w:hAnsi="Tahoma" w:cs="Tahoma"/>
          <w:noProof/>
          <w:color w:val="000000"/>
          <w:sz w:val="20"/>
          <w:szCs w:val="20"/>
        </w:rPr>
      </w:pPr>
      <w:r w:rsidRPr="0040213E">
        <w:rPr>
          <w:rFonts w:ascii="Tahoma" w:eastAsia="Tahoma" w:hAnsi="Tahoma" w:cs="Tahoma"/>
          <w:noProof/>
          <w:color w:val="000000"/>
          <w:sz w:val="20"/>
          <w:szCs w:val="20"/>
        </w:rPr>
        <w:t xml:space="preserve">A.J. et al. (2023) ‘Membangun Komunitas yang Lebih Sehat: Meningkatkan Akses ke Layanan Kesehatan, Nutrisi, Kebugaran Terhadap Kesehatan Mental’, Jurnal Pengabdian West Science, 2(05), pp. 345–353. </w:t>
      </w:r>
      <w:r w:rsidR="00D2214C" w:rsidRPr="00D2214C">
        <w:rPr>
          <w:rFonts w:ascii="Tahoma" w:eastAsia="Tahoma" w:hAnsi="Tahoma" w:cs="Tahoma"/>
          <w:noProof/>
          <w:color w:val="000000"/>
          <w:sz w:val="20"/>
          <w:szCs w:val="20"/>
        </w:rPr>
        <w:t>[</w:t>
      </w:r>
      <w:hyperlink r:id="rId15" w:history="1">
        <w:r w:rsidR="00D2214C" w:rsidRPr="00D2214C">
          <w:rPr>
            <w:rStyle w:val="Hyperlink"/>
            <w:rFonts w:ascii="Tahoma" w:eastAsia="Tahoma" w:hAnsi="Tahoma" w:cs="Tahoma"/>
            <w:noProof/>
            <w:sz w:val="20"/>
            <w:szCs w:val="20"/>
          </w:rPr>
          <w:t>Crossref</w:t>
        </w:r>
      </w:hyperlink>
      <w:r w:rsidR="00D2214C" w:rsidRPr="00D2214C">
        <w:rPr>
          <w:rFonts w:ascii="Tahoma" w:eastAsia="Tahoma" w:hAnsi="Tahoma" w:cs="Tahoma"/>
          <w:noProof/>
          <w:color w:val="000000"/>
          <w:sz w:val="20"/>
          <w:szCs w:val="20"/>
        </w:rPr>
        <w:t>], [</w:t>
      </w:r>
      <w:hyperlink r:id="rId16" w:history="1">
        <w:r w:rsidR="00D2214C" w:rsidRPr="00D2214C">
          <w:rPr>
            <w:rStyle w:val="Hyperlink"/>
            <w:rFonts w:ascii="Tahoma" w:eastAsia="Tahoma" w:hAnsi="Tahoma" w:cs="Tahoma"/>
            <w:noProof/>
            <w:sz w:val="20"/>
            <w:szCs w:val="20"/>
          </w:rPr>
          <w:t>Publisher</w:t>
        </w:r>
      </w:hyperlink>
      <w:r w:rsidR="00D2214C" w:rsidRPr="00D2214C">
        <w:rPr>
          <w:rFonts w:ascii="Tahoma" w:eastAsia="Tahoma" w:hAnsi="Tahoma" w:cs="Tahoma"/>
          <w:noProof/>
          <w:color w:val="000000"/>
          <w:sz w:val="20"/>
          <w:szCs w:val="20"/>
        </w:rPr>
        <w:t>]</w:t>
      </w:r>
    </w:p>
    <w:p w14:paraId="6E128467" w14:textId="0B9A004D" w:rsidR="006E084B" w:rsidRDefault="006E084B" w:rsidP="00D2214C">
      <w:pPr>
        <w:spacing w:after="0" w:line="240" w:lineRule="auto"/>
        <w:ind w:left="567" w:hanging="567"/>
        <w:jc w:val="both"/>
        <w:rPr>
          <w:rFonts w:ascii="Tahoma" w:eastAsia="Tahoma" w:hAnsi="Tahoma" w:cs="Tahoma"/>
          <w:noProof/>
          <w:color w:val="000000"/>
          <w:sz w:val="20"/>
          <w:szCs w:val="20"/>
        </w:rPr>
      </w:pPr>
      <w:r w:rsidRPr="0040213E">
        <w:rPr>
          <w:rFonts w:ascii="Tahoma" w:eastAsia="Tahoma" w:hAnsi="Tahoma" w:cs="Tahoma"/>
          <w:noProof/>
          <w:color w:val="000000"/>
          <w:sz w:val="20"/>
          <w:szCs w:val="20"/>
        </w:rPr>
        <w:t>Hastoety, S.P. et al. (2018) ‘Disparitas Balita Kurang Gizi di Indonesia’, Media Penelitian dan Pengembangan Kesehatan, 28(3), pp. 201–210.</w:t>
      </w:r>
      <w:r w:rsidR="00D2214C">
        <w:rPr>
          <w:rFonts w:ascii="Tahoma" w:eastAsia="Tahoma" w:hAnsi="Tahoma" w:cs="Tahoma"/>
          <w:noProof/>
          <w:color w:val="000000"/>
          <w:sz w:val="20"/>
          <w:szCs w:val="20"/>
        </w:rPr>
        <w:t xml:space="preserve"> </w:t>
      </w:r>
      <w:r w:rsidR="00D2214C" w:rsidRPr="00D2214C">
        <w:rPr>
          <w:rFonts w:ascii="Tahoma" w:eastAsia="Tahoma" w:hAnsi="Tahoma" w:cs="Tahoma"/>
          <w:noProof/>
          <w:color w:val="000000"/>
          <w:sz w:val="20"/>
          <w:szCs w:val="20"/>
        </w:rPr>
        <w:t>[</w:t>
      </w:r>
      <w:hyperlink r:id="rId17" w:history="1">
        <w:r w:rsidR="00D2214C" w:rsidRPr="00D2214C">
          <w:rPr>
            <w:rStyle w:val="Hyperlink"/>
            <w:rFonts w:ascii="Tahoma" w:eastAsia="Tahoma" w:hAnsi="Tahoma" w:cs="Tahoma"/>
            <w:noProof/>
            <w:sz w:val="20"/>
            <w:szCs w:val="20"/>
          </w:rPr>
          <w:t>Crossref</w:t>
        </w:r>
      </w:hyperlink>
      <w:r w:rsidR="00D2214C" w:rsidRPr="00D2214C">
        <w:rPr>
          <w:rFonts w:ascii="Tahoma" w:eastAsia="Tahoma" w:hAnsi="Tahoma" w:cs="Tahoma"/>
          <w:noProof/>
          <w:color w:val="000000"/>
          <w:sz w:val="20"/>
          <w:szCs w:val="20"/>
        </w:rPr>
        <w:t>], [</w:t>
      </w:r>
      <w:hyperlink r:id="rId18" w:history="1">
        <w:r w:rsidR="00D2214C" w:rsidRPr="00D2214C">
          <w:rPr>
            <w:rStyle w:val="Hyperlink"/>
            <w:rFonts w:ascii="Tahoma" w:eastAsia="Tahoma" w:hAnsi="Tahoma" w:cs="Tahoma"/>
            <w:noProof/>
            <w:sz w:val="20"/>
            <w:szCs w:val="20"/>
          </w:rPr>
          <w:t>Publisher</w:t>
        </w:r>
      </w:hyperlink>
      <w:r w:rsidR="00D2214C" w:rsidRPr="00D2214C">
        <w:rPr>
          <w:rFonts w:ascii="Tahoma" w:eastAsia="Tahoma" w:hAnsi="Tahoma" w:cs="Tahoma"/>
          <w:noProof/>
          <w:color w:val="000000"/>
          <w:sz w:val="20"/>
          <w:szCs w:val="20"/>
        </w:rPr>
        <w:t>]</w:t>
      </w:r>
    </w:p>
    <w:p w14:paraId="576E4EF0" w14:textId="3F5A85F5" w:rsidR="006E084B" w:rsidRDefault="006E084B" w:rsidP="00D2214C">
      <w:pPr>
        <w:spacing w:after="0" w:line="240" w:lineRule="auto"/>
        <w:ind w:left="567" w:hanging="567"/>
        <w:jc w:val="both"/>
        <w:rPr>
          <w:rFonts w:ascii="Tahoma" w:eastAsia="Tahoma" w:hAnsi="Tahoma" w:cs="Tahoma"/>
          <w:noProof/>
          <w:color w:val="000000"/>
          <w:sz w:val="20"/>
          <w:szCs w:val="20"/>
        </w:rPr>
      </w:pPr>
      <w:r w:rsidRPr="0040213E">
        <w:rPr>
          <w:rFonts w:ascii="Tahoma" w:eastAsia="Tahoma" w:hAnsi="Tahoma" w:cs="Tahoma"/>
          <w:noProof/>
          <w:color w:val="000000"/>
          <w:sz w:val="20"/>
          <w:szCs w:val="20"/>
        </w:rPr>
        <w:t>Idris, H. (2016) ‘</w:t>
      </w:r>
      <w:r w:rsidR="00D2214C" w:rsidRPr="0040213E">
        <w:rPr>
          <w:rFonts w:ascii="Tahoma" w:eastAsia="Tahoma" w:hAnsi="Tahoma" w:cs="Tahoma"/>
          <w:noProof/>
          <w:color w:val="000000"/>
          <w:sz w:val="20"/>
          <w:szCs w:val="20"/>
        </w:rPr>
        <w:t>Equity Of Access To Health Care: Theory &amp;Amp; Aplication In Research’</w:t>
      </w:r>
      <w:r w:rsidRPr="0040213E">
        <w:rPr>
          <w:rFonts w:ascii="Tahoma" w:eastAsia="Tahoma" w:hAnsi="Tahoma" w:cs="Tahoma"/>
          <w:noProof/>
          <w:color w:val="000000"/>
          <w:sz w:val="20"/>
          <w:szCs w:val="20"/>
        </w:rPr>
        <w:t xml:space="preserve">, Jurnal Ilmu Kesehatan Masyarakat, 7(2), pp. 73–80. </w:t>
      </w:r>
      <w:r w:rsidR="00D2214C" w:rsidRPr="00D2214C">
        <w:rPr>
          <w:rFonts w:ascii="Tahoma" w:eastAsia="Tahoma" w:hAnsi="Tahoma" w:cs="Tahoma"/>
          <w:noProof/>
          <w:color w:val="000000"/>
          <w:sz w:val="20"/>
          <w:szCs w:val="20"/>
        </w:rPr>
        <w:t>[</w:t>
      </w:r>
      <w:hyperlink r:id="rId19" w:history="1">
        <w:r w:rsidR="00D2214C" w:rsidRPr="00D2214C">
          <w:rPr>
            <w:rStyle w:val="Hyperlink"/>
            <w:rFonts w:ascii="Tahoma" w:eastAsia="Tahoma" w:hAnsi="Tahoma" w:cs="Tahoma"/>
            <w:noProof/>
            <w:sz w:val="20"/>
            <w:szCs w:val="20"/>
          </w:rPr>
          <w:t>Crossref</w:t>
        </w:r>
      </w:hyperlink>
      <w:r w:rsidR="00D2214C" w:rsidRPr="00D2214C">
        <w:rPr>
          <w:rFonts w:ascii="Tahoma" w:eastAsia="Tahoma" w:hAnsi="Tahoma" w:cs="Tahoma"/>
          <w:noProof/>
          <w:color w:val="000000"/>
          <w:sz w:val="20"/>
          <w:szCs w:val="20"/>
        </w:rPr>
        <w:t>], [</w:t>
      </w:r>
      <w:hyperlink r:id="rId20" w:history="1">
        <w:r w:rsidR="00D2214C" w:rsidRPr="00D2214C">
          <w:rPr>
            <w:rStyle w:val="Hyperlink"/>
            <w:rFonts w:ascii="Tahoma" w:eastAsia="Tahoma" w:hAnsi="Tahoma" w:cs="Tahoma"/>
            <w:noProof/>
            <w:sz w:val="20"/>
            <w:szCs w:val="20"/>
          </w:rPr>
          <w:t>Publisher</w:t>
        </w:r>
      </w:hyperlink>
      <w:r w:rsidR="00D2214C" w:rsidRPr="00D2214C">
        <w:rPr>
          <w:rFonts w:ascii="Tahoma" w:eastAsia="Tahoma" w:hAnsi="Tahoma" w:cs="Tahoma"/>
          <w:noProof/>
          <w:color w:val="000000"/>
          <w:sz w:val="20"/>
          <w:szCs w:val="20"/>
        </w:rPr>
        <w:t>]</w:t>
      </w:r>
    </w:p>
    <w:p w14:paraId="3DD74034" w14:textId="7AE4CA0B" w:rsidR="006E084B" w:rsidRDefault="006E084B" w:rsidP="00D2214C">
      <w:pPr>
        <w:spacing w:after="0" w:line="240" w:lineRule="auto"/>
        <w:ind w:left="567" w:hanging="567"/>
        <w:jc w:val="both"/>
        <w:rPr>
          <w:rFonts w:ascii="Tahoma" w:eastAsia="Tahoma" w:hAnsi="Tahoma" w:cs="Tahoma"/>
          <w:noProof/>
          <w:color w:val="000000"/>
          <w:sz w:val="20"/>
          <w:szCs w:val="20"/>
        </w:rPr>
      </w:pPr>
      <w:r w:rsidRPr="0040213E">
        <w:rPr>
          <w:rFonts w:ascii="Tahoma" w:eastAsia="Tahoma" w:hAnsi="Tahoma" w:cs="Tahoma"/>
          <w:noProof/>
          <w:color w:val="000000"/>
          <w:sz w:val="20"/>
          <w:szCs w:val="20"/>
        </w:rPr>
        <w:t xml:space="preserve">Istiqomah, A. et al. (2023) ‘Telaah Artikel: Implementasi Sistem Pembayaran Kapitasi pada Jaminan Kesehatan Nasional sebagai Strategi dalam Mengatasi Kesenjangan Pelayanan Kesehatan’, STOMATOGNATIC - Jurnal Kedokteran Gigi, 20(1), p. 24. </w:t>
      </w:r>
      <w:r w:rsidR="00D2214C" w:rsidRPr="00D2214C">
        <w:rPr>
          <w:rFonts w:ascii="Tahoma" w:eastAsia="Tahoma" w:hAnsi="Tahoma" w:cs="Tahoma"/>
          <w:noProof/>
          <w:color w:val="000000"/>
          <w:sz w:val="20"/>
          <w:szCs w:val="20"/>
        </w:rPr>
        <w:t>[</w:t>
      </w:r>
      <w:hyperlink r:id="rId21" w:history="1">
        <w:r w:rsidR="00D2214C" w:rsidRPr="00D2214C">
          <w:rPr>
            <w:rStyle w:val="Hyperlink"/>
            <w:rFonts w:ascii="Tahoma" w:eastAsia="Tahoma" w:hAnsi="Tahoma" w:cs="Tahoma"/>
            <w:noProof/>
            <w:sz w:val="20"/>
            <w:szCs w:val="20"/>
          </w:rPr>
          <w:t>Crossref</w:t>
        </w:r>
      </w:hyperlink>
      <w:r w:rsidR="00D2214C" w:rsidRPr="00D2214C">
        <w:rPr>
          <w:rFonts w:ascii="Tahoma" w:eastAsia="Tahoma" w:hAnsi="Tahoma" w:cs="Tahoma"/>
          <w:noProof/>
          <w:color w:val="000000"/>
          <w:sz w:val="20"/>
          <w:szCs w:val="20"/>
        </w:rPr>
        <w:t>], [</w:t>
      </w:r>
      <w:hyperlink r:id="rId22" w:history="1">
        <w:r w:rsidR="00D2214C" w:rsidRPr="00D2214C">
          <w:rPr>
            <w:rStyle w:val="Hyperlink"/>
            <w:rFonts w:ascii="Tahoma" w:eastAsia="Tahoma" w:hAnsi="Tahoma" w:cs="Tahoma"/>
            <w:noProof/>
            <w:sz w:val="20"/>
            <w:szCs w:val="20"/>
          </w:rPr>
          <w:t>Publisher</w:t>
        </w:r>
      </w:hyperlink>
      <w:r w:rsidR="00D2214C" w:rsidRPr="00D2214C">
        <w:rPr>
          <w:rFonts w:ascii="Tahoma" w:eastAsia="Tahoma" w:hAnsi="Tahoma" w:cs="Tahoma"/>
          <w:noProof/>
          <w:color w:val="000000"/>
          <w:sz w:val="20"/>
          <w:szCs w:val="20"/>
        </w:rPr>
        <w:t>]</w:t>
      </w:r>
    </w:p>
    <w:p w14:paraId="05C6DDC4" w14:textId="4D01262E" w:rsidR="006E084B" w:rsidRDefault="006E084B" w:rsidP="00304DA0">
      <w:pPr>
        <w:spacing w:after="0" w:line="240" w:lineRule="auto"/>
        <w:ind w:left="567" w:hanging="567"/>
        <w:jc w:val="both"/>
        <w:rPr>
          <w:rFonts w:ascii="Tahoma" w:eastAsia="Tahoma" w:hAnsi="Tahoma" w:cs="Tahoma"/>
          <w:noProof/>
          <w:color w:val="000000"/>
          <w:sz w:val="20"/>
          <w:szCs w:val="20"/>
        </w:rPr>
      </w:pPr>
      <w:r w:rsidRPr="0040213E">
        <w:rPr>
          <w:rFonts w:ascii="Tahoma" w:eastAsia="Tahoma" w:hAnsi="Tahoma" w:cs="Tahoma"/>
          <w:noProof/>
          <w:color w:val="000000"/>
          <w:sz w:val="20"/>
          <w:szCs w:val="20"/>
        </w:rPr>
        <w:t xml:space="preserve">Juanita (2021) ‘Kesenjangan Ketersediaan Layanan Cardiovascular Diseases (CVD) di Sumatera Utara.’, Yogyakarta; </w:t>
      </w:r>
      <w:r w:rsidR="00304DA0">
        <w:rPr>
          <w:rFonts w:ascii="Tahoma" w:eastAsia="Tahoma" w:hAnsi="Tahoma" w:cs="Tahoma"/>
          <w:noProof/>
          <w:color w:val="000000"/>
          <w:sz w:val="20"/>
          <w:szCs w:val="20"/>
        </w:rPr>
        <w:t xml:space="preserve">2021. [Preprint]. </w:t>
      </w:r>
      <w:r w:rsidR="00D2214C" w:rsidRPr="00D2214C">
        <w:rPr>
          <w:rFonts w:ascii="Tahoma" w:eastAsia="Tahoma" w:hAnsi="Tahoma" w:cs="Tahoma"/>
          <w:noProof/>
          <w:color w:val="000000"/>
          <w:sz w:val="20"/>
          <w:szCs w:val="20"/>
        </w:rPr>
        <w:t>[</w:t>
      </w:r>
      <w:hyperlink r:id="rId23" w:history="1">
        <w:r w:rsidR="00D2214C" w:rsidRPr="00304DA0">
          <w:rPr>
            <w:rStyle w:val="Hyperlink"/>
            <w:rFonts w:ascii="Tahoma" w:eastAsia="Tahoma" w:hAnsi="Tahoma" w:cs="Tahoma"/>
            <w:noProof/>
            <w:sz w:val="20"/>
            <w:szCs w:val="20"/>
          </w:rPr>
          <w:t>Crossref</w:t>
        </w:r>
      </w:hyperlink>
      <w:r w:rsidR="00D2214C" w:rsidRPr="00D2214C">
        <w:rPr>
          <w:rFonts w:ascii="Tahoma" w:eastAsia="Tahoma" w:hAnsi="Tahoma" w:cs="Tahoma"/>
          <w:noProof/>
          <w:color w:val="000000"/>
          <w:sz w:val="20"/>
          <w:szCs w:val="20"/>
        </w:rPr>
        <w:t>], [</w:t>
      </w:r>
      <w:hyperlink r:id="rId24" w:history="1">
        <w:r w:rsidR="00D2214C" w:rsidRPr="00304DA0">
          <w:rPr>
            <w:rStyle w:val="Hyperlink"/>
            <w:rFonts w:ascii="Tahoma" w:eastAsia="Tahoma" w:hAnsi="Tahoma" w:cs="Tahoma"/>
            <w:noProof/>
            <w:sz w:val="20"/>
            <w:szCs w:val="20"/>
          </w:rPr>
          <w:t>Publisher</w:t>
        </w:r>
      </w:hyperlink>
      <w:r w:rsidR="00D2214C" w:rsidRPr="00D2214C">
        <w:rPr>
          <w:rFonts w:ascii="Tahoma" w:eastAsia="Tahoma" w:hAnsi="Tahoma" w:cs="Tahoma"/>
          <w:noProof/>
          <w:color w:val="000000"/>
          <w:sz w:val="20"/>
          <w:szCs w:val="20"/>
        </w:rPr>
        <w:t>]</w:t>
      </w:r>
    </w:p>
    <w:p w14:paraId="393657A2" w14:textId="7FAC4743" w:rsidR="006E084B" w:rsidRDefault="006E084B" w:rsidP="00304DA0">
      <w:pPr>
        <w:spacing w:after="0" w:line="240" w:lineRule="auto"/>
        <w:ind w:left="567" w:hanging="567"/>
        <w:jc w:val="both"/>
        <w:rPr>
          <w:rFonts w:ascii="Tahoma" w:eastAsia="Tahoma" w:hAnsi="Tahoma" w:cs="Tahoma"/>
          <w:noProof/>
          <w:color w:val="000000"/>
          <w:sz w:val="20"/>
          <w:szCs w:val="20"/>
        </w:rPr>
      </w:pPr>
      <w:r w:rsidRPr="0040213E">
        <w:rPr>
          <w:rFonts w:ascii="Tahoma" w:eastAsia="Tahoma" w:hAnsi="Tahoma" w:cs="Tahoma"/>
          <w:noProof/>
          <w:color w:val="000000"/>
          <w:sz w:val="20"/>
          <w:szCs w:val="20"/>
        </w:rPr>
        <w:t xml:space="preserve">Krakov, A.O. et al. (2023) ‘Disparities in occupational health services: an international comparative study’, </w:t>
      </w:r>
      <w:r w:rsidRPr="0040213E">
        <w:rPr>
          <w:rFonts w:ascii="Tahoma" w:eastAsia="Tahoma" w:hAnsi="Tahoma" w:cs="Tahoma"/>
          <w:noProof/>
          <w:color w:val="000000"/>
          <w:sz w:val="20"/>
          <w:szCs w:val="20"/>
        </w:rPr>
        <w:t xml:space="preserve">Journal of Occupational Medicine and Toxicology, 18(1), p. 21. </w:t>
      </w:r>
      <w:r w:rsidR="00D2214C" w:rsidRPr="00D2214C">
        <w:rPr>
          <w:rFonts w:ascii="Tahoma" w:eastAsia="Tahoma" w:hAnsi="Tahoma" w:cs="Tahoma"/>
          <w:noProof/>
          <w:color w:val="000000"/>
          <w:sz w:val="20"/>
          <w:szCs w:val="20"/>
        </w:rPr>
        <w:t>[</w:t>
      </w:r>
      <w:hyperlink r:id="rId25" w:history="1">
        <w:r w:rsidR="00D2214C" w:rsidRPr="00304DA0">
          <w:rPr>
            <w:rStyle w:val="Hyperlink"/>
            <w:rFonts w:ascii="Tahoma" w:eastAsia="Tahoma" w:hAnsi="Tahoma" w:cs="Tahoma"/>
            <w:noProof/>
            <w:sz w:val="20"/>
            <w:szCs w:val="20"/>
          </w:rPr>
          <w:t>Crossref</w:t>
        </w:r>
      </w:hyperlink>
      <w:r w:rsidR="00D2214C" w:rsidRPr="00D2214C">
        <w:rPr>
          <w:rFonts w:ascii="Tahoma" w:eastAsia="Tahoma" w:hAnsi="Tahoma" w:cs="Tahoma"/>
          <w:noProof/>
          <w:color w:val="000000"/>
          <w:sz w:val="20"/>
          <w:szCs w:val="20"/>
        </w:rPr>
        <w:t>], [</w:t>
      </w:r>
      <w:hyperlink r:id="rId26" w:history="1">
        <w:r w:rsidR="00D2214C" w:rsidRPr="00304DA0">
          <w:rPr>
            <w:rStyle w:val="Hyperlink"/>
            <w:rFonts w:ascii="Tahoma" w:eastAsia="Tahoma" w:hAnsi="Tahoma" w:cs="Tahoma"/>
            <w:noProof/>
            <w:sz w:val="20"/>
            <w:szCs w:val="20"/>
          </w:rPr>
          <w:t>Publisher</w:t>
        </w:r>
      </w:hyperlink>
      <w:r w:rsidR="00D2214C" w:rsidRPr="00D2214C">
        <w:rPr>
          <w:rFonts w:ascii="Tahoma" w:eastAsia="Tahoma" w:hAnsi="Tahoma" w:cs="Tahoma"/>
          <w:noProof/>
          <w:color w:val="000000"/>
          <w:sz w:val="20"/>
          <w:szCs w:val="20"/>
        </w:rPr>
        <w:t>]</w:t>
      </w:r>
    </w:p>
    <w:p w14:paraId="74CCBADD" w14:textId="7DD267C0" w:rsidR="006E084B" w:rsidRDefault="006E084B" w:rsidP="00304DA0">
      <w:pPr>
        <w:spacing w:after="0" w:line="240" w:lineRule="auto"/>
        <w:ind w:left="567" w:hanging="567"/>
        <w:jc w:val="both"/>
        <w:rPr>
          <w:rFonts w:ascii="Tahoma" w:eastAsia="Tahoma" w:hAnsi="Tahoma" w:cs="Tahoma"/>
          <w:noProof/>
          <w:color w:val="000000"/>
          <w:sz w:val="20"/>
          <w:szCs w:val="20"/>
        </w:rPr>
      </w:pPr>
      <w:r w:rsidRPr="0040213E">
        <w:rPr>
          <w:rFonts w:ascii="Tahoma" w:eastAsia="Tahoma" w:hAnsi="Tahoma" w:cs="Tahoma"/>
          <w:noProof/>
          <w:color w:val="000000"/>
          <w:sz w:val="20"/>
          <w:szCs w:val="20"/>
        </w:rPr>
        <w:t xml:space="preserve">.Mansour, A. et al. (2022) ‘Housing and health: an updated glossary’, Journal of Epidemiology and Community Health, 76(9), pp. 833–838. </w:t>
      </w:r>
      <w:r w:rsidR="00D2214C" w:rsidRPr="00D2214C">
        <w:rPr>
          <w:rFonts w:ascii="Tahoma" w:eastAsia="Tahoma" w:hAnsi="Tahoma" w:cs="Tahoma"/>
          <w:noProof/>
          <w:color w:val="000000"/>
          <w:sz w:val="20"/>
          <w:szCs w:val="20"/>
        </w:rPr>
        <w:t>[</w:t>
      </w:r>
      <w:hyperlink r:id="rId27" w:history="1">
        <w:r w:rsidR="00D2214C" w:rsidRPr="00304DA0">
          <w:rPr>
            <w:rStyle w:val="Hyperlink"/>
            <w:rFonts w:ascii="Tahoma" w:eastAsia="Tahoma" w:hAnsi="Tahoma" w:cs="Tahoma"/>
            <w:noProof/>
            <w:sz w:val="20"/>
            <w:szCs w:val="20"/>
          </w:rPr>
          <w:t>Crossref</w:t>
        </w:r>
      </w:hyperlink>
      <w:r w:rsidR="00D2214C" w:rsidRPr="00D2214C">
        <w:rPr>
          <w:rFonts w:ascii="Tahoma" w:eastAsia="Tahoma" w:hAnsi="Tahoma" w:cs="Tahoma"/>
          <w:noProof/>
          <w:color w:val="000000"/>
          <w:sz w:val="20"/>
          <w:szCs w:val="20"/>
        </w:rPr>
        <w:t>], [</w:t>
      </w:r>
      <w:hyperlink r:id="rId28" w:history="1">
        <w:r w:rsidR="00D2214C" w:rsidRPr="00304DA0">
          <w:rPr>
            <w:rStyle w:val="Hyperlink"/>
            <w:rFonts w:ascii="Tahoma" w:eastAsia="Tahoma" w:hAnsi="Tahoma" w:cs="Tahoma"/>
            <w:noProof/>
            <w:sz w:val="20"/>
            <w:szCs w:val="20"/>
          </w:rPr>
          <w:t>Publisher</w:t>
        </w:r>
      </w:hyperlink>
      <w:r w:rsidR="00D2214C" w:rsidRPr="00D2214C">
        <w:rPr>
          <w:rFonts w:ascii="Tahoma" w:eastAsia="Tahoma" w:hAnsi="Tahoma" w:cs="Tahoma"/>
          <w:noProof/>
          <w:color w:val="000000"/>
          <w:sz w:val="20"/>
          <w:szCs w:val="20"/>
        </w:rPr>
        <w:t>]</w:t>
      </w:r>
    </w:p>
    <w:p w14:paraId="6D29A865" w14:textId="42F1F64D" w:rsidR="006E084B" w:rsidRDefault="006E084B" w:rsidP="00304DA0">
      <w:pPr>
        <w:spacing w:after="0" w:line="240" w:lineRule="auto"/>
        <w:ind w:left="567" w:hanging="567"/>
        <w:jc w:val="both"/>
        <w:rPr>
          <w:rFonts w:ascii="Tahoma" w:eastAsia="Tahoma" w:hAnsi="Tahoma" w:cs="Tahoma"/>
          <w:noProof/>
          <w:color w:val="000000"/>
          <w:sz w:val="20"/>
          <w:szCs w:val="20"/>
        </w:rPr>
      </w:pPr>
      <w:r w:rsidRPr="0040213E">
        <w:rPr>
          <w:rFonts w:ascii="Tahoma" w:eastAsia="Tahoma" w:hAnsi="Tahoma" w:cs="Tahoma"/>
          <w:noProof/>
          <w:color w:val="000000"/>
          <w:sz w:val="20"/>
          <w:szCs w:val="20"/>
        </w:rPr>
        <w:t xml:space="preserve">Nosrati, E., Kelly, M.P. and Szreter, S. (2024) ‘Infant mortality and social causality: Lessons from the history of Britain’s public health movement, c. 1834–1914’, The British Journal of Sociology [Preprint]. </w:t>
      </w:r>
      <w:r w:rsidR="00D2214C" w:rsidRPr="00D2214C">
        <w:rPr>
          <w:rFonts w:ascii="Tahoma" w:eastAsia="Tahoma" w:hAnsi="Tahoma" w:cs="Tahoma"/>
          <w:noProof/>
          <w:color w:val="000000"/>
          <w:sz w:val="20"/>
          <w:szCs w:val="20"/>
        </w:rPr>
        <w:t>[</w:t>
      </w:r>
      <w:hyperlink r:id="rId29" w:history="1">
        <w:r w:rsidR="00D2214C" w:rsidRPr="00304DA0">
          <w:rPr>
            <w:rStyle w:val="Hyperlink"/>
            <w:rFonts w:ascii="Tahoma" w:eastAsia="Tahoma" w:hAnsi="Tahoma" w:cs="Tahoma"/>
            <w:noProof/>
            <w:sz w:val="20"/>
            <w:szCs w:val="20"/>
          </w:rPr>
          <w:t>Crossref</w:t>
        </w:r>
      </w:hyperlink>
      <w:r w:rsidR="00D2214C" w:rsidRPr="00D2214C">
        <w:rPr>
          <w:rFonts w:ascii="Tahoma" w:eastAsia="Tahoma" w:hAnsi="Tahoma" w:cs="Tahoma"/>
          <w:noProof/>
          <w:color w:val="000000"/>
          <w:sz w:val="20"/>
          <w:szCs w:val="20"/>
        </w:rPr>
        <w:t>], [</w:t>
      </w:r>
      <w:hyperlink r:id="rId30" w:history="1">
        <w:r w:rsidR="00D2214C" w:rsidRPr="00304DA0">
          <w:rPr>
            <w:rStyle w:val="Hyperlink"/>
            <w:rFonts w:ascii="Tahoma" w:eastAsia="Tahoma" w:hAnsi="Tahoma" w:cs="Tahoma"/>
            <w:noProof/>
            <w:sz w:val="20"/>
            <w:szCs w:val="20"/>
          </w:rPr>
          <w:t>Publisher</w:t>
        </w:r>
      </w:hyperlink>
      <w:r w:rsidR="00D2214C" w:rsidRPr="00D2214C">
        <w:rPr>
          <w:rFonts w:ascii="Tahoma" w:eastAsia="Tahoma" w:hAnsi="Tahoma" w:cs="Tahoma"/>
          <w:noProof/>
          <w:color w:val="000000"/>
          <w:sz w:val="20"/>
          <w:szCs w:val="20"/>
        </w:rPr>
        <w:t>]</w:t>
      </w:r>
    </w:p>
    <w:p w14:paraId="722E0B1F" w14:textId="0F8A8332" w:rsidR="006E084B" w:rsidRDefault="006E084B" w:rsidP="00304DA0">
      <w:pPr>
        <w:spacing w:after="0" w:line="240" w:lineRule="auto"/>
        <w:ind w:left="567" w:hanging="567"/>
        <w:jc w:val="both"/>
        <w:rPr>
          <w:rFonts w:ascii="Tahoma" w:eastAsia="Tahoma" w:hAnsi="Tahoma" w:cs="Tahoma"/>
          <w:noProof/>
          <w:color w:val="000000"/>
          <w:sz w:val="20"/>
          <w:szCs w:val="20"/>
        </w:rPr>
      </w:pPr>
      <w:r w:rsidRPr="0040213E">
        <w:rPr>
          <w:rFonts w:ascii="Tahoma" w:eastAsia="Tahoma" w:hAnsi="Tahoma" w:cs="Tahoma"/>
          <w:noProof/>
          <w:color w:val="000000"/>
          <w:sz w:val="20"/>
          <w:szCs w:val="20"/>
        </w:rPr>
        <w:t xml:space="preserve">Nurrizka, R.H. and Wahyono, T.Y.M. (2018) ‘Disparitas Kematian Maternal di Indonesia: Studi Ekologi dengan Analisis Spasial’, Media Kesehatan Masyarakat Indonesia, 14(2), p. 119. </w:t>
      </w:r>
      <w:r w:rsidR="00D2214C" w:rsidRPr="00D2214C">
        <w:rPr>
          <w:rFonts w:ascii="Tahoma" w:eastAsia="Tahoma" w:hAnsi="Tahoma" w:cs="Tahoma"/>
          <w:noProof/>
          <w:color w:val="000000"/>
          <w:sz w:val="20"/>
          <w:szCs w:val="20"/>
        </w:rPr>
        <w:t>[</w:t>
      </w:r>
      <w:hyperlink r:id="rId31" w:history="1">
        <w:r w:rsidR="00D2214C" w:rsidRPr="00304DA0">
          <w:rPr>
            <w:rStyle w:val="Hyperlink"/>
            <w:rFonts w:ascii="Tahoma" w:eastAsia="Tahoma" w:hAnsi="Tahoma" w:cs="Tahoma"/>
            <w:noProof/>
            <w:sz w:val="20"/>
            <w:szCs w:val="20"/>
          </w:rPr>
          <w:t>Crossref</w:t>
        </w:r>
      </w:hyperlink>
      <w:r w:rsidR="00D2214C" w:rsidRPr="00D2214C">
        <w:rPr>
          <w:rFonts w:ascii="Tahoma" w:eastAsia="Tahoma" w:hAnsi="Tahoma" w:cs="Tahoma"/>
          <w:noProof/>
          <w:color w:val="000000"/>
          <w:sz w:val="20"/>
          <w:szCs w:val="20"/>
        </w:rPr>
        <w:t>], [</w:t>
      </w:r>
      <w:hyperlink r:id="rId32" w:history="1">
        <w:r w:rsidR="00D2214C" w:rsidRPr="00304DA0">
          <w:rPr>
            <w:rStyle w:val="Hyperlink"/>
            <w:rFonts w:ascii="Tahoma" w:eastAsia="Tahoma" w:hAnsi="Tahoma" w:cs="Tahoma"/>
            <w:noProof/>
            <w:sz w:val="20"/>
            <w:szCs w:val="20"/>
          </w:rPr>
          <w:t>Publisher</w:t>
        </w:r>
      </w:hyperlink>
      <w:r w:rsidR="00D2214C" w:rsidRPr="00D2214C">
        <w:rPr>
          <w:rFonts w:ascii="Tahoma" w:eastAsia="Tahoma" w:hAnsi="Tahoma" w:cs="Tahoma"/>
          <w:noProof/>
          <w:color w:val="000000"/>
          <w:sz w:val="20"/>
          <w:szCs w:val="20"/>
        </w:rPr>
        <w:t>]</w:t>
      </w:r>
    </w:p>
    <w:p w14:paraId="6B6D9BC5" w14:textId="4152D8EF" w:rsidR="006E084B" w:rsidRDefault="006E084B" w:rsidP="00304DA0">
      <w:pPr>
        <w:spacing w:after="0" w:line="240" w:lineRule="auto"/>
        <w:ind w:left="567" w:hanging="567"/>
        <w:jc w:val="both"/>
        <w:rPr>
          <w:rFonts w:ascii="Tahoma" w:eastAsia="Tahoma" w:hAnsi="Tahoma" w:cs="Tahoma"/>
          <w:noProof/>
          <w:color w:val="000000"/>
          <w:sz w:val="20"/>
          <w:szCs w:val="20"/>
        </w:rPr>
      </w:pPr>
      <w:r w:rsidRPr="0040213E">
        <w:rPr>
          <w:rFonts w:ascii="Tahoma" w:eastAsia="Tahoma" w:hAnsi="Tahoma" w:cs="Tahoma"/>
          <w:noProof/>
          <w:color w:val="000000"/>
          <w:sz w:val="20"/>
          <w:szCs w:val="20"/>
        </w:rPr>
        <w:t>Nurul Hikmah B., Lutfan Lazuardi and Dwi Handono (2021) ‘</w:t>
      </w:r>
      <w:r w:rsidR="00304DA0" w:rsidRPr="0040213E">
        <w:rPr>
          <w:rFonts w:ascii="Tahoma" w:eastAsia="Tahoma" w:hAnsi="Tahoma" w:cs="Tahoma"/>
          <w:noProof/>
          <w:color w:val="000000"/>
          <w:sz w:val="20"/>
          <w:szCs w:val="20"/>
        </w:rPr>
        <w:t xml:space="preserve">Kesenjangan Distribusi Tenaga Kesehatan Di Puskesmas Wilayah Indonesia Timur </w:t>
      </w:r>
      <w:r w:rsidRPr="0040213E">
        <w:rPr>
          <w:rFonts w:ascii="Tahoma" w:eastAsia="Tahoma" w:hAnsi="Tahoma" w:cs="Tahoma"/>
          <w:noProof/>
          <w:color w:val="000000"/>
          <w:sz w:val="20"/>
          <w:szCs w:val="20"/>
        </w:rPr>
        <w:t xml:space="preserve">(Analisis Data IFLS East 2012)’, Jurnal Manajemen Pelayanan Kesehatan (The Indonesian Journal of Health Service Management), 19(3). </w:t>
      </w:r>
      <w:r w:rsidR="00D2214C" w:rsidRPr="00D2214C">
        <w:rPr>
          <w:rFonts w:ascii="Tahoma" w:eastAsia="Tahoma" w:hAnsi="Tahoma" w:cs="Tahoma"/>
          <w:noProof/>
          <w:color w:val="000000"/>
          <w:sz w:val="20"/>
          <w:szCs w:val="20"/>
        </w:rPr>
        <w:t>[</w:t>
      </w:r>
      <w:hyperlink r:id="rId33" w:history="1">
        <w:r w:rsidR="00D2214C" w:rsidRPr="00304DA0">
          <w:rPr>
            <w:rStyle w:val="Hyperlink"/>
            <w:rFonts w:ascii="Tahoma" w:eastAsia="Tahoma" w:hAnsi="Tahoma" w:cs="Tahoma"/>
            <w:noProof/>
            <w:sz w:val="20"/>
            <w:szCs w:val="20"/>
          </w:rPr>
          <w:t>Crossref</w:t>
        </w:r>
      </w:hyperlink>
      <w:r w:rsidR="00D2214C" w:rsidRPr="00D2214C">
        <w:rPr>
          <w:rFonts w:ascii="Tahoma" w:eastAsia="Tahoma" w:hAnsi="Tahoma" w:cs="Tahoma"/>
          <w:noProof/>
          <w:color w:val="000000"/>
          <w:sz w:val="20"/>
          <w:szCs w:val="20"/>
        </w:rPr>
        <w:t>], [</w:t>
      </w:r>
      <w:hyperlink r:id="rId34" w:history="1">
        <w:r w:rsidR="00D2214C" w:rsidRPr="00304DA0">
          <w:rPr>
            <w:rStyle w:val="Hyperlink"/>
            <w:rFonts w:ascii="Tahoma" w:eastAsia="Tahoma" w:hAnsi="Tahoma" w:cs="Tahoma"/>
            <w:noProof/>
            <w:sz w:val="20"/>
            <w:szCs w:val="20"/>
          </w:rPr>
          <w:t>Publisher</w:t>
        </w:r>
      </w:hyperlink>
      <w:r w:rsidR="00D2214C" w:rsidRPr="00D2214C">
        <w:rPr>
          <w:rFonts w:ascii="Tahoma" w:eastAsia="Tahoma" w:hAnsi="Tahoma" w:cs="Tahoma"/>
          <w:noProof/>
          <w:color w:val="000000"/>
          <w:sz w:val="20"/>
          <w:szCs w:val="20"/>
        </w:rPr>
        <w:t>]</w:t>
      </w:r>
    </w:p>
    <w:p w14:paraId="66FDC9FA" w14:textId="2F3AB052" w:rsidR="006E084B" w:rsidRDefault="006E084B" w:rsidP="00304DA0">
      <w:pPr>
        <w:spacing w:after="0" w:line="240" w:lineRule="auto"/>
        <w:ind w:left="567" w:hanging="567"/>
        <w:jc w:val="both"/>
        <w:rPr>
          <w:rFonts w:ascii="Tahoma" w:eastAsia="Tahoma" w:hAnsi="Tahoma" w:cs="Tahoma"/>
          <w:noProof/>
          <w:color w:val="000000"/>
          <w:sz w:val="20"/>
          <w:szCs w:val="20"/>
        </w:rPr>
      </w:pPr>
      <w:r w:rsidRPr="0040213E">
        <w:rPr>
          <w:rFonts w:ascii="Tahoma" w:eastAsia="Tahoma" w:hAnsi="Tahoma" w:cs="Tahoma"/>
          <w:noProof/>
          <w:color w:val="000000"/>
          <w:sz w:val="20"/>
          <w:szCs w:val="20"/>
        </w:rPr>
        <w:t xml:space="preserve">ODPHP (2020) Social Determinants of Health. Healthy People 2020. 2020 [cited 2022 Jul 31]. p. 2020 Topics &amp; Objectives. </w:t>
      </w:r>
      <w:r w:rsidR="00D2214C" w:rsidRPr="00D2214C">
        <w:rPr>
          <w:rFonts w:ascii="Tahoma" w:eastAsia="Tahoma" w:hAnsi="Tahoma" w:cs="Tahoma"/>
          <w:noProof/>
          <w:color w:val="000000"/>
          <w:sz w:val="20"/>
          <w:szCs w:val="20"/>
        </w:rPr>
        <w:t>[</w:t>
      </w:r>
      <w:hyperlink r:id="rId35" w:history="1">
        <w:r w:rsidR="00D2214C" w:rsidRPr="00304DA0">
          <w:rPr>
            <w:rStyle w:val="Hyperlink"/>
            <w:rFonts w:ascii="Tahoma" w:eastAsia="Tahoma" w:hAnsi="Tahoma" w:cs="Tahoma"/>
            <w:noProof/>
            <w:sz w:val="20"/>
            <w:szCs w:val="20"/>
          </w:rPr>
          <w:t>Publisher</w:t>
        </w:r>
      </w:hyperlink>
      <w:r w:rsidR="00D2214C" w:rsidRPr="00D2214C">
        <w:rPr>
          <w:rFonts w:ascii="Tahoma" w:eastAsia="Tahoma" w:hAnsi="Tahoma" w:cs="Tahoma"/>
          <w:noProof/>
          <w:color w:val="000000"/>
          <w:sz w:val="20"/>
          <w:szCs w:val="20"/>
        </w:rPr>
        <w:t>]</w:t>
      </w:r>
    </w:p>
    <w:p w14:paraId="313A6DF0" w14:textId="05312BE2" w:rsidR="006E084B" w:rsidRDefault="006E084B" w:rsidP="0033384B">
      <w:pPr>
        <w:spacing w:after="0" w:line="240" w:lineRule="auto"/>
        <w:ind w:left="567" w:hanging="567"/>
        <w:jc w:val="both"/>
        <w:rPr>
          <w:rFonts w:ascii="Tahoma" w:eastAsia="Tahoma" w:hAnsi="Tahoma" w:cs="Tahoma"/>
          <w:noProof/>
          <w:color w:val="000000"/>
          <w:sz w:val="20"/>
          <w:szCs w:val="20"/>
        </w:rPr>
      </w:pPr>
      <w:r w:rsidRPr="0040213E">
        <w:rPr>
          <w:rFonts w:ascii="Tahoma" w:eastAsia="Tahoma" w:hAnsi="Tahoma" w:cs="Tahoma"/>
          <w:noProof/>
          <w:color w:val="000000"/>
          <w:sz w:val="20"/>
          <w:szCs w:val="20"/>
        </w:rPr>
        <w:t xml:space="preserve">Röhr, S. et al. (2023) ‘FC36: Social determinants of modifiable dementia risk in Maori and Non-Maori: Results of the New Zealand Health, Work and Retirement study’, International Psychogeriatrics, 35(S1), pp. 99–99. </w:t>
      </w:r>
      <w:r w:rsidR="00D2214C" w:rsidRPr="00D2214C">
        <w:rPr>
          <w:rFonts w:ascii="Tahoma" w:eastAsia="Tahoma" w:hAnsi="Tahoma" w:cs="Tahoma"/>
          <w:noProof/>
          <w:color w:val="000000"/>
          <w:sz w:val="20"/>
          <w:szCs w:val="20"/>
        </w:rPr>
        <w:t>[</w:t>
      </w:r>
      <w:hyperlink r:id="rId36" w:history="1">
        <w:r w:rsidR="00D2214C" w:rsidRPr="0033384B">
          <w:rPr>
            <w:rStyle w:val="Hyperlink"/>
            <w:rFonts w:ascii="Tahoma" w:eastAsia="Tahoma" w:hAnsi="Tahoma" w:cs="Tahoma"/>
            <w:noProof/>
            <w:sz w:val="20"/>
            <w:szCs w:val="20"/>
          </w:rPr>
          <w:t>Crossref</w:t>
        </w:r>
      </w:hyperlink>
      <w:r w:rsidR="00D2214C" w:rsidRPr="00D2214C">
        <w:rPr>
          <w:rFonts w:ascii="Tahoma" w:eastAsia="Tahoma" w:hAnsi="Tahoma" w:cs="Tahoma"/>
          <w:noProof/>
          <w:color w:val="000000"/>
          <w:sz w:val="20"/>
          <w:szCs w:val="20"/>
        </w:rPr>
        <w:t>], [</w:t>
      </w:r>
      <w:hyperlink r:id="rId37" w:history="1">
        <w:r w:rsidR="00D2214C" w:rsidRPr="0033384B">
          <w:rPr>
            <w:rStyle w:val="Hyperlink"/>
            <w:rFonts w:ascii="Tahoma" w:eastAsia="Tahoma" w:hAnsi="Tahoma" w:cs="Tahoma"/>
            <w:noProof/>
            <w:sz w:val="20"/>
            <w:szCs w:val="20"/>
          </w:rPr>
          <w:t>Publisher</w:t>
        </w:r>
      </w:hyperlink>
      <w:r w:rsidR="00D2214C" w:rsidRPr="00D2214C">
        <w:rPr>
          <w:rFonts w:ascii="Tahoma" w:eastAsia="Tahoma" w:hAnsi="Tahoma" w:cs="Tahoma"/>
          <w:noProof/>
          <w:color w:val="000000"/>
          <w:sz w:val="20"/>
          <w:szCs w:val="20"/>
        </w:rPr>
        <w:t>]</w:t>
      </w:r>
    </w:p>
    <w:p w14:paraId="29985C2B" w14:textId="204DB848" w:rsidR="006E084B" w:rsidRDefault="006E084B" w:rsidP="0033384B">
      <w:pPr>
        <w:spacing w:after="0" w:line="240" w:lineRule="auto"/>
        <w:ind w:left="567" w:hanging="567"/>
        <w:jc w:val="both"/>
        <w:rPr>
          <w:rFonts w:ascii="Tahoma" w:eastAsia="Tahoma" w:hAnsi="Tahoma" w:cs="Tahoma"/>
          <w:noProof/>
          <w:color w:val="000000"/>
          <w:sz w:val="20"/>
          <w:szCs w:val="20"/>
        </w:rPr>
      </w:pPr>
      <w:r w:rsidRPr="0040213E">
        <w:rPr>
          <w:rFonts w:ascii="Tahoma" w:eastAsia="Tahoma" w:hAnsi="Tahoma" w:cs="Tahoma"/>
          <w:noProof/>
          <w:color w:val="000000"/>
          <w:sz w:val="20"/>
          <w:szCs w:val="20"/>
        </w:rPr>
        <w:t>Sari, K. et al. (2017) ‘Peran Kesenjangan Ekonomi terhadap Kejadian Kegemukan’, Media Penelitian da</w:t>
      </w:r>
      <w:r w:rsidR="0033384B">
        <w:rPr>
          <w:rFonts w:ascii="Tahoma" w:eastAsia="Tahoma" w:hAnsi="Tahoma" w:cs="Tahoma"/>
          <w:noProof/>
          <w:color w:val="000000"/>
          <w:sz w:val="20"/>
          <w:szCs w:val="20"/>
        </w:rPr>
        <w:t>n Pengembangan Kesehatan, 26(3)</w:t>
      </w:r>
      <w:r w:rsidRPr="0040213E">
        <w:rPr>
          <w:rFonts w:ascii="Tahoma" w:eastAsia="Tahoma" w:hAnsi="Tahoma" w:cs="Tahoma"/>
          <w:noProof/>
          <w:color w:val="000000"/>
          <w:sz w:val="20"/>
          <w:szCs w:val="20"/>
        </w:rPr>
        <w:t>.</w:t>
      </w:r>
      <w:r w:rsidR="00D2214C">
        <w:rPr>
          <w:rFonts w:ascii="Tahoma" w:eastAsia="Tahoma" w:hAnsi="Tahoma" w:cs="Tahoma"/>
          <w:noProof/>
          <w:color w:val="000000"/>
          <w:sz w:val="20"/>
          <w:szCs w:val="20"/>
        </w:rPr>
        <w:t xml:space="preserve"> </w:t>
      </w:r>
      <w:r w:rsidR="00D2214C" w:rsidRPr="00D2214C">
        <w:rPr>
          <w:rFonts w:ascii="Tahoma" w:eastAsia="Tahoma" w:hAnsi="Tahoma" w:cs="Tahoma"/>
          <w:noProof/>
          <w:color w:val="000000"/>
          <w:sz w:val="20"/>
          <w:szCs w:val="20"/>
        </w:rPr>
        <w:t>[</w:t>
      </w:r>
      <w:hyperlink r:id="rId38" w:history="1">
        <w:r w:rsidR="00D2214C" w:rsidRPr="0033384B">
          <w:rPr>
            <w:rStyle w:val="Hyperlink"/>
            <w:rFonts w:ascii="Tahoma" w:eastAsia="Tahoma" w:hAnsi="Tahoma" w:cs="Tahoma"/>
            <w:noProof/>
            <w:sz w:val="20"/>
            <w:szCs w:val="20"/>
          </w:rPr>
          <w:t>Crossref</w:t>
        </w:r>
      </w:hyperlink>
      <w:r w:rsidR="00D2214C" w:rsidRPr="00D2214C">
        <w:rPr>
          <w:rFonts w:ascii="Tahoma" w:eastAsia="Tahoma" w:hAnsi="Tahoma" w:cs="Tahoma"/>
          <w:noProof/>
          <w:color w:val="000000"/>
          <w:sz w:val="20"/>
          <w:szCs w:val="20"/>
        </w:rPr>
        <w:t>], [</w:t>
      </w:r>
      <w:hyperlink r:id="rId39" w:history="1">
        <w:r w:rsidR="00D2214C" w:rsidRPr="0033384B">
          <w:rPr>
            <w:rStyle w:val="Hyperlink"/>
            <w:rFonts w:ascii="Tahoma" w:eastAsia="Tahoma" w:hAnsi="Tahoma" w:cs="Tahoma"/>
            <w:noProof/>
            <w:sz w:val="20"/>
            <w:szCs w:val="20"/>
          </w:rPr>
          <w:t>Publisher</w:t>
        </w:r>
      </w:hyperlink>
      <w:r w:rsidR="00D2214C" w:rsidRPr="00D2214C">
        <w:rPr>
          <w:rFonts w:ascii="Tahoma" w:eastAsia="Tahoma" w:hAnsi="Tahoma" w:cs="Tahoma"/>
          <w:noProof/>
          <w:color w:val="000000"/>
          <w:sz w:val="20"/>
          <w:szCs w:val="20"/>
        </w:rPr>
        <w:t>]</w:t>
      </w:r>
    </w:p>
    <w:p w14:paraId="55149824" w14:textId="39B55FB1" w:rsidR="006E084B" w:rsidRDefault="006E084B" w:rsidP="0033384B">
      <w:pPr>
        <w:spacing w:after="0" w:line="240" w:lineRule="auto"/>
        <w:ind w:left="567" w:hanging="567"/>
        <w:jc w:val="both"/>
        <w:rPr>
          <w:rFonts w:ascii="Tahoma" w:eastAsia="Tahoma" w:hAnsi="Tahoma" w:cs="Tahoma"/>
          <w:noProof/>
          <w:color w:val="000000"/>
          <w:sz w:val="20"/>
          <w:szCs w:val="20"/>
        </w:rPr>
      </w:pPr>
      <w:r w:rsidRPr="0040213E">
        <w:rPr>
          <w:rFonts w:ascii="Tahoma" w:eastAsia="Tahoma" w:hAnsi="Tahoma" w:cs="Tahoma"/>
          <w:noProof/>
          <w:color w:val="000000"/>
          <w:sz w:val="20"/>
          <w:szCs w:val="20"/>
        </w:rPr>
        <w:t xml:space="preserve">Setiawan, C.T. et al. (2023) ‘Menjembatani Kesenjangan dalam Perawatan Kesehatan Mental: Pendekatan Baru untuk Diagnosis, Pengobatan, dan Pengurangan Stigma’, Jurnal Multidisiplin West Science, 2(08). </w:t>
      </w:r>
      <w:r w:rsidR="00D2214C" w:rsidRPr="00D2214C">
        <w:rPr>
          <w:rFonts w:ascii="Tahoma" w:eastAsia="Tahoma" w:hAnsi="Tahoma" w:cs="Tahoma"/>
          <w:noProof/>
          <w:color w:val="000000"/>
          <w:sz w:val="20"/>
          <w:szCs w:val="20"/>
        </w:rPr>
        <w:t>[</w:t>
      </w:r>
      <w:hyperlink r:id="rId40" w:history="1">
        <w:r w:rsidR="00D2214C" w:rsidRPr="0033384B">
          <w:rPr>
            <w:rStyle w:val="Hyperlink"/>
            <w:rFonts w:ascii="Tahoma" w:eastAsia="Tahoma" w:hAnsi="Tahoma" w:cs="Tahoma"/>
            <w:noProof/>
            <w:sz w:val="20"/>
            <w:szCs w:val="20"/>
          </w:rPr>
          <w:t>Crossref</w:t>
        </w:r>
      </w:hyperlink>
      <w:r w:rsidR="00D2214C" w:rsidRPr="00D2214C">
        <w:rPr>
          <w:rFonts w:ascii="Tahoma" w:eastAsia="Tahoma" w:hAnsi="Tahoma" w:cs="Tahoma"/>
          <w:noProof/>
          <w:color w:val="000000"/>
          <w:sz w:val="20"/>
          <w:szCs w:val="20"/>
        </w:rPr>
        <w:t>], [</w:t>
      </w:r>
      <w:hyperlink r:id="rId41" w:history="1">
        <w:r w:rsidR="00D2214C" w:rsidRPr="0033384B">
          <w:rPr>
            <w:rStyle w:val="Hyperlink"/>
            <w:rFonts w:ascii="Tahoma" w:eastAsia="Tahoma" w:hAnsi="Tahoma" w:cs="Tahoma"/>
            <w:noProof/>
            <w:sz w:val="20"/>
            <w:szCs w:val="20"/>
          </w:rPr>
          <w:t>Publisher</w:t>
        </w:r>
      </w:hyperlink>
      <w:r w:rsidR="00D2214C" w:rsidRPr="00D2214C">
        <w:rPr>
          <w:rFonts w:ascii="Tahoma" w:eastAsia="Tahoma" w:hAnsi="Tahoma" w:cs="Tahoma"/>
          <w:noProof/>
          <w:color w:val="000000"/>
          <w:sz w:val="20"/>
          <w:szCs w:val="20"/>
        </w:rPr>
        <w:t>]</w:t>
      </w:r>
    </w:p>
    <w:p w14:paraId="121D719A" w14:textId="65C4904B" w:rsidR="006E084B" w:rsidRDefault="006E084B" w:rsidP="0033384B">
      <w:pPr>
        <w:spacing w:after="0" w:line="240" w:lineRule="auto"/>
        <w:ind w:left="567" w:hanging="567"/>
        <w:jc w:val="both"/>
        <w:rPr>
          <w:rFonts w:ascii="Tahoma" w:eastAsia="Tahoma" w:hAnsi="Tahoma" w:cs="Tahoma"/>
          <w:noProof/>
          <w:color w:val="000000"/>
          <w:sz w:val="20"/>
          <w:szCs w:val="20"/>
        </w:rPr>
      </w:pPr>
      <w:r w:rsidRPr="0040213E">
        <w:rPr>
          <w:rFonts w:ascii="Tahoma" w:eastAsia="Tahoma" w:hAnsi="Tahoma" w:cs="Tahoma"/>
          <w:noProof/>
          <w:color w:val="000000"/>
          <w:sz w:val="20"/>
          <w:szCs w:val="20"/>
        </w:rPr>
        <w:t xml:space="preserve">Spencer, N. et al. (2019) ‘Addressing inequities in child health and development: towards social justice’, BMJ Paediatrics Open, 3(1), p. e000503. </w:t>
      </w:r>
      <w:r w:rsidR="00D2214C" w:rsidRPr="00D2214C">
        <w:rPr>
          <w:rFonts w:ascii="Tahoma" w:eastAsia="Tahoma" w:hAnsi="Tahoma" w:cs="Tahoma"/>
          <w:noProof/>
          <w:color w:val="000000"/>
          <w:sz w:val="20"/>
          <w:szCs w:val="20"/>
        </w:rPr>
        <w:t>[</w:t>
      </w:r>
      <w:hyperlink r:id="rId42" w:history="1">
        <w:r w:rsidR="00D2214C" w:rsidRPr="0033384B">
          <w:rPr>
            <w:rStyle w:val="Hyperlink"/>
            <w:rFonts w:ascii="Tahoma" w:eastAsia="Tahoma" w:hAnsi="Tahoma" w:cs="Tahoma"/>
            <w:noProof/>
            <w:sz w:val="20"/>
            <w:szCs w:val="20"/>
          </w:rPr>
          <w:t>Crossref</w:t>
        </w:r>
      </w:hyperlink>
      <w:r w:rsidR="00D2214C" w:rsidRPr="00D2214C">
        <w:rPr>
          <w:rFonts w:ascii="Tahoma" w:eastAsia="Tahoma" w:hAnsi="Tahoma" w:cs="Tahoma"/>
          <w:noProof/>
          <w:color w:val="000000"/>
          <w:sz w:val="20"/>
          <w:szCs w:val="20"/>
        </w:rPr>
        <w:t>], [</w:t>
      </w:r>
      <w:hyperlink r:id="rId43" w:history="1">
        <w:r w:rsidR="00D2214C" w:rsidRPr="0033384B">
          <w:rPr>
            <w:rStyle w:val="Hyperlink"/>
            <w:rFonts w:ascii="Tahoma" w:eastAsia="Tahoma" w:hAnsi="Tahoma" w:cs="Tahoma"/>
            <w:noProof/>
            <w:sz w:val="20"/>
            <w:szCs w:val="20"/>
          </w:rPr>
          <w:t>Publisher</w:t>
        </w:r>
      </w:hyperlink>
      <w:r w:rsidR="00D2214C" w:rsidRPr="00D2214C">
        <w:rPr>
          <w:rFonts w:ascii="Tahoma" w:eastAsia="Tahoma" w:hAnsi="Tahoma" w:cs="Tahoma"/>
          <w:noProof/>
          <w:color w:val="000000"/>
          <w:sz w:val="20"/>
          <w:szCs w:val="20"/>
        </w:rPr>
        <w:t>]</w:t>
      </w:r>
    </w:p>
    <w:p w14:paraId="0E9BD03A" w14:textId="24C043D9" w:rsidR="006E084B" w:rsidRDefault="006E084B" w:rsidP="0033384B">
      <w:pPr>
        <w:spacing w:after="0" w:line="240" w:lineRule="auto"/>
        <w:ind w:left="567" w:hanging="567"/>
        <w:jc w:val="both"/>
        <w:rPr>
          <w:rFonts w:ascii="Tahoma" w:eastAsia="Tahoma" w:hAnsi="Tahoma" w:cs="Tahoma"/>
          <w:noProof/>
          <w:color w:val="000000"/>
          <w:sz w:val="20"/>
          <w:szCs w:val="20"/>
        </w:rPr>
      </w:pPr>
      <w:r w:rsidRPr="0040213E">
        <w:rPr>
          <w:rFonts w:ascii="Tahoma" w:eastAsia="Tahoma" w:hAnsi="Tahoma" w:cs="Tahoma"/>
          <w:noProof/>
          <w:color w:val="000000"/>
          <w:sz w:val="20"/>
          <w:szCs w:val="20"/>
        </w:rPr>
        <w:t xml:space="preserve">Suparmi, S. and Maisya, I.B. (2017) ‘Kesenjangan Sosio-Ekonomi dan Faktor yang Berhubungan dengan Persalinan Seksio Sesarea di Indonesia’, Buletin Penelitian Kesehatan, 45(3). </w:t>
      </w:r>
      <w:r w:rsidR="00D2214C" w:rsidRPr="00D2214C">
        <w:rPr>
          <w:rFonts w:ascii="Tahoma" w:eastAsia="Tahoma" w:hAnsi="Tahoma" w:cs="Tahoma"/>
          <w:noProof/>
          <w:color w:val="000000"/>
          <w:sz w:val="20"/>
          <w:szCs w:val="20"/>
        </w:rPr>
        <w:t>[</w:t>
      </w:r>
      <w:hyperlink r:id="rId44" w:history="1">
        <w:r w:rsidR="00D2214C" w:rsidRPr="0033384B">
          <w:rPr>
            <w:rStyle w:val="Hyperlink"/>
            <w:rFonts w:ascii="Tahoma" w:eastAsia="Tahoma" w:hAnsi="Tahoma" w:cs="Tahoma"/>
            <w:noProof/>
            <w:sz w:val="20"/>
            <w:szCs w:val="20"/>
          </w:rPr>
          <w:t>Crossref</w:t>
        </w:r>
      </w:hyperlink>
      <w:r w:rsidR="00D2214C" w:rsidRPr="00D2214C">
        <w:rPr>
          <w:rFonts w:ascii="Tahoma" w:eastAsia="Tahoma" w:hAnsi="Tahoma" w:cs="Tahoma"/>
          <w:noProof/>
          <w:color w:val="000000"/>
          <w:sz w:val="20"/>
          <w:szCs w:val="20"/>
        </w:rPr>
        <w:t>], [</w:t>
      </w:r>
      <w:hyperlink r:id="rId45" w:history="1">
        <w:r w:rsidR="00D2214C" w:rsidRPr="0033384B">
          <w:rPr>
            <w:rStyle w:val="Hyperlink"/>
            <w:rFonts w:ascii="Tahoma" w:eastAsia="Tahoma" w:hAnsi="Tahoma" w:cs="Tahoma"/>
            <w:noProof/>
            <w:sz w:val="20"/>
            <w:szCs w:val="20"/>
          </w:rPr>
          <w:t>Publisher</w:t>
        </w:r>
      </w:hyperlink>
      <w:r w:rsidR="00D2214C" w:rsidRPr="00D2214C">
        <w:rPr>
          <w:rFonts w:ascii="Tahoma" w:eastAsia="Tahoma" w:hAnsi="Tahoma" w:cs="Tahoma"/>
          <w:noProof/>
          <w:color w:val="000000"/>
          <w:sz w:val="20"/>
          <w:szCs w:val="20"/>
        </w:rPr>
        <w:t>]</w:t>
      </w:r>
    </w:p>
    <w:p w14:paraId="0A900C27" w14:textId="07C0DE45" w:rsidR="006E084B" w:rsidRDefault="006E084B" w:rsidP="0033384B">
      <w:pPr>
        <w:spacing w:after="0" w:line="240" w:lineRule="auto"/>
        <w:ind w:left="567" w:hanging="567"/>
        <w:jc w:val="both"/>
        <w:rPr>
          <w:rFonts w:ascii="Tahoma" w:eastAsia="Tahoma" w:hAnsi="Tahoma" w:cs="Tahoma"/>
          <w:noProof/>
          <w:color w:val="000000"/>
          <w:sz w:val="20"/>
          <w:szCs w:val="20"/>
        </w:rPr>
      </w:pPr>
      <w:r w:rsidRPr="0040213E">
        <w:rPr>
          <w:rFonts w:ascii="Tahoma" w:eastAsia="Tahoma" w:hAnsi="Tahoma" w:cs="Tahoma"/>
          <w:noProof/>
          <w:color w:val="000000"/>
          <w:sz w:val="20"/>
          <w:szCs w:val="20"/>
        </w:rPr>
        <w:t>Triyanto, I.Y. and Keban, Y.T. (2019) ‘</w:t>
      </w:r>
      <w:r w:rsidR="0033384B" w:rsidRPr="0040213E">
        <w:rPr>
          <w:rFonts w:ascii="Tahoma" w:eastAsia="Tahoma" w:hAnsi="Tahoma" w:cs="Tahoma"/>
          <w:noProof/>
          <w:color w:val="000000"/>
          <w:sz w:val="20"/>
          <w:szCs w:val="20"/>
        </w:rPr>
        <w:t>Disparitas Wilayah Antar Kecamatan Di Kabupaten Sleman</w:t>
      </w:r>
      <w:r w:rsidRPr="0040213E">
        <w:rPr>
          <w:rFonts w:ascii="Tahoma" w:eastAsia="Tahoma" w:hAnsi="Tahoma" w:cs="Tahoma"/>
          <w:noProof/>
          <w:color w:val="000000"/>
          <w:sz w:val="20"/>
          <w:szCs w:val="20"/>
        </w:rPr>
        <w:t xml:space="preserve">’, Jurnal Litbang Sukowati : Media Penelitian dan Pengembangan, 3(1), p. 13. </w:t>
      </w:r>
      <w:r w:rsidR="00D2214C" w:rsidRPr="00D2214C">
        <w:rPr>
          <w:rFonts w:ascii="Tahoma" w:eastAsia="Tahoma" w:hAnsi="Tahoma" w:cs="Tahoma"/>
          <w:noProof/>
          <w:color w:val="000000"/>
          <w:sz w:val="20"/>
          <w:szCs w:val="20"/>
        </w:rPr>
        <w:t>[</w:t>
      </w:r>
      <w:hyperlink r:id="rId46" w:history="1">
        <w:r w:rsidR="00D2214C" w:rsidRPr="0033384B">
          <w:rPr>
            <w:rStyle w:val="Hyperlink"/>
            <w:rFonts w:ascii="Tahoma" w:eastAsia="Tahoma" w:hAnsi="Tahoma" w:cs="Tahoma"/>
            <w:noProof/>
            <w:sz w:val="20"/>
            <w:szCs w:val="20"/>
          </w:rPr>
          <w:t>Crossref</w:t>
        </w:r>
      </w:hyperlink>
      <w:r w:rsidR="00D2214C" w:rsidRPr="00D2214C">
        <w:rPr>
          <w:rFonts w:ascii="Tahoma" w:eastAsia="Tahoma" w:hAnsi="Tahoma" w:cs="Tahoma"/>
          <w:noProof/>
          <w:color w:val="000000"/>
          <w:sz w:val="20"/>
          <w:szCs w:val="20"/>
        </w:rPr>
        <w:t>], [</w:t>
      </w:r>
      <w:hyperlink r:id="rId47" w:history="1">
        <w:r w:rsidR="00D2214C" w:rsidRPr="0033384B">
          <w:rPr>
            <w:rStyle w:val="Hyperlink"/>
            <w:rFonts w:ascii="Tahoma" w:eastAsia="Tahoma" w:hAnsi="Tahoma" w:cs="Tahoma"/>
            <w:noProof/>
            <w:sz w:val="20"/>
            <w:szCs w:val="20"/>
          </w:rPr>
          <w:t>Publisher</w:t>
        </w:r>
      </w:hyperlink>
      <w:r w:rsidR="00D2214C" w:rsidRPr="00D2214C">
        <w:rPr>
          <w:rFonts w:ascii="Tahoma" w:eastAsia="Tahoma" w:hAnsi="Tahoma" w:cs="Tahoma"/>
          <w:noProof/>
          <w:color w:val="000000"/>
          <w:sz w:val="20"/>
          <w:szCs w:val="20"/>
        </w:rPr>
        <w:t>]</w:t>
      </w:r>
    </w:p>
    <w:p w14:paraId="497F365B" w14:textId="0D2E30A8" w:rsidR="006E084B" w:rsidRPr="00207D0F" w:rsidRDefault="006E084B" w:rsidP="00207D0F">
      <w:pPr>
        <w:spacing w:after="0" w:line="240" w:lineRule="auto"/>
        <w:ind w:left="567" w:hanging="567"/>
        <w:jc w:val="both"/>
        <w:rPr>
          <w:rFonts w:ascii="Times New Roman" w:eastAsia="Times New Roman" w:hAnsi="Times New Roman" w:cs="Times New Roman"/>
          <w:noProof/>
          <w:sz w:val="24"/>
          <w:szCs w:val="24"/>
        </w:rPr>
        <w:sectPr w:rsidR="006E084B" w:rsidRPr="00207D0F" w:rsidSect="006E084B">
          <w:type w:val="continuous"/>
          <w:pgSz w:w="11906" w:h="16838"/>
          <w:pgMar w:top="1134" w:right="567" w:bottom="1134" w:left="567" w:header="709" w:footer="709" w:gutter="0"/>
          <w:cols w:num="2" w:space="567"/>
        </w:sectPr>
      </w:pPr>
      <w:r w:rsidRPr="0040213E">
        <w:rPr>
          <w:rFonts w:ascii="Tahoma" w:eastAsia="Tahoma" w:hAnsi="Tahoma" w:cs="Tahoma"/>
          <w:noProof/>
          <w:color w:val="000000"/>
          <w:sz w:val="20"/>
          <w:szCs w:val="20"/>
        </w:rPr>
        <w:t>WHO. (2023) Health Equity [Internet]. Health Topics. 2023 [cited 202</w:t>
      </w:r>
      <w:r w:rsidR="00D2214C">
        <w:rPr>
          <w:rFonts w:ascii="Tahoma" w:eastAsia="Tahoma" w:hAnsi="Tahoma" w:cs="Tahoma"/>
          <w:noProof/>
          <w:color w:val="000000"/>
          <w:sz w:val="20"/>
          <w:szCs w:val="20"/>
        </w:rPr>
        <w:t>3 Sep 26]</w:t>
      </w:r>
      <w:r w:rsidRPr="002B66F8">
        <w:rPr>
          <w:rFonts w:ascii="Tahoma" w:eastAsia="Tahoma" w:hAnsi="Tahoma" w:cs="Tahoma"/>
          <w:noProof/>
          <w:color w:val="000000"/>
          <w:sz w:val="20"/>
          <w:szCs w:val="20"/>
        </w:rPr>
        <w:t>.</w:t>
      </w:r>
      <w:r w:rsidR="00D2214C" w:rsidRPr="00D2214C">
        <w:rPr>
          <w:rFonts w:ascii="Tahoma" w:eastAsia="Tahoma" w:hAnsi="Tahoma" w:cs="Tahoma"/>
          <w:noProof/>
          <w:color w:val="000000"/>
          <w:sz w:val="20"/>
          <w:szCs w:val="20"/>
        </w:rPr>
        <w:t xml:space="preserve"> [</w:t>
      </w:r>
      <w:hyperlink r:id="rId48" w:history="1">
        <w:r w:rsidR="00D2214C" w:rsidRPr="0033384B">
          <w:rPr>
            <w:rStyle w:val="Hyperlink"/>
            <w:rFonts w:ascii="Tahoma" w:eastAsia="Tahoma" w:hAnsi="Tahoma" w:cs="Tahoma"/>
            <w:noProof/>
            <w:sz w:val="20"/>
            <w:szCs w:val="20"/>
          </w:rPr>
          <w:t>Publisher</w:t>
        </w:r>
      </w:hyperlink>
      <w:r w:rsidR="00D2214C" w:rsidRPr="00D2214C">
        <w:rPr>
          <w:rFonts w:ascii="Tahoma" w:eastAsia="Tahoma" w:hAnsi="Tahoma" w:cs="Tahoma"/>
          <w:noProof/>
          <w:color w:val="000000"/>
          <w:sz w:val="20"/>
          <w:szCs w:val="20"/>
        </w:rPr>
        <w:t>]</w:t>
      </w:r>
    </w:p>
    <w:p w14:paraId="4AA84A3A" w14:textId="77777777" w:rsidR="006E084B" w:rsidRDefault="006E084B" w:rsidP="00207D0F">
      <w:pPr>
        <w:spacing w:after="0" w:line="240" w:lineRule="auto"/>
        <w:ind w:left="567" w:hanging="426"/>
        <w:jc w:val="both"/>
        <w:rPr>
          <w:rFonts w:ascii="Times New Roman" w:eastAsia="Times New Roman" w:hAnsi="Times New Roman" w:cs="Times New Roman"/>
          <w:noProof/>
          <w:sz w:val="24"/>
          <w:szCs w:val="24"/>
        </w:rPr>
      </w:pPr>
    </w:p>
    <w:sectPr w:rsidR="006E084B" w:rsidSect="006E084B">
      <w:type w:val="continuous"/>
      <w:pgSz w:w="11906" w:h="16838"/>
      <w:pgMar w:top="1134" w:right="567" w:bottom="1134" w:left="567" w:header="709" w:footer="709"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19AED" w14:textId="77777777" w:rsidR="000D33A5" w:rsidRDefault="000D33A5">
      <w:pPr>
        <w:spacing w:after="0" w:line="240" w:lineRule="auto"/>
      </w:pPr>
      <w:r>
        <w:separator/>
      </w:r>
    </w:p>
  </w:endnote>
  <w:endnote w:type="continuationSeparator" w:id="0">
    <w:p w14:paraId="45E2F02B" w14:textId="77777777" w:rsidR="000D33A5" w:rsidRDefault="000D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287366"/>
      <w:docPartObj>
        <w:docPartGallery w:val="Page Numbers (Bottom of Page)"/>
        <w:docPartUnique/>
      </w:docPartObj>
    </w:sdtPr>
    <w:sdtEndPr>
      <w:rPr>
        <w:rFonts w:ascii="Tahoma" w:hAnsi="Tahoma" w:cs="Tahoma"/>
        <w:noProof/>
        <w:sz w:val="18"/>
        <w:szCs w:val="18"/>
      </w:rPr>
    </w:sdtEndPr>
    <w:sdtContent>
      <w:p w14:paraId="5FC5FDA9" w14:textId="77777777" w:rsidR="00AB1727" w:rsidRPr="005C7F0F" w:rsidRDefault="002F4A50">
        <w:pPr>
          <w:pStyle w:val="Footer"/>
          <w:jc w:val="right"/>
          <w:rPr>
            <w:rFonts w:ascii="Tahoma" w:hAnsi="Tahoma" w:cs="Tahoma"/>
            <w:sz w:val="18"/>
            <w:szCs w:val="18"/>
          </w:rPr>
        </w:pPr>
        <w:r w:rsidRPr="005C7F0F">
          <w:rPr>
            <w:rFonts w:ascii="Tahoma" w:hAnsi="Tahoma" w:cs="Tahoma"/>
            <w:sz w:val="18"/>
            <w:szCs w:val="18"/>
          </w:rPr>
          <w:fldChar w:fldCharType="begin"/>
        </w:r>
        <w:r w:rsidRPr="005C7F0F">
          <w:rPr>
            <w:rFonts w:ascii="Tahoma" w:hAnsi="Tahoma" w:cs="Tahoma"/>
            <w:sz w:val="18"/>
            <w:szCs w:val="18"/>
          </w:rPr>
          <w:instrText xml:space="preserve"> PAGE   \* MERGEFORMAT </w:instrText>
        </w:r>
        <w:r w:rsidRPr="005C7F0F">
          <w:rPr>
            <w:rFonts w:ascii="Tahoma" w:hAnsi="Tahoma" w:cs="Tahoma"/>
            <w:sz w:val="18"/>
            <w:szCs w:val="18"/>
          </w:rPr>
          <w:fldChar w:fldCharType="separate"/>
        </w:r>
        <w:r w:rsidR="00207D0F" w:rsidRPr="005C7F0F">
          <w:rPr>
            <w:rFonts w:ascii="Tahoma" w:hAnsi="Tahoma" w:cs="Tahoma"/>
            <w:noProof/>
            <w:sz w:val="18"/>
            <w:szCs w:val="18"/>
          </w:rPr>
          <w:t>6</w:t>
        </w:r>
        <w:r w:rsidRPr="005C7F0F">
          <w:rPr>
            <w:rFonts w:ascii="Tahoma" w:hAnsi="Tahoma" w:cs="Tahoma"/>
            <w:noProof/>
            <w:sz w:val="18"/>
            <w:szCs w:val="18"/>
          </w:rPr>
          <w:fldChar w:fldCharType="end"/>
        </w:r>
      </w:p>
    </w:sdtContent>
  </w:sdt>
  <w:p w14:paraId="49A129DD" w14:textId="77777777" w:rsidR="00AB1727" w:rsidRDefault="00AB172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0717462"/>
      <w:docPartObj>
        <w:docPartGallery w:val="Page Numbers (Bottom of Page)"/>
        <w:docPartUnique/>
      </w:docPartObj>
    </w:sdtPr>
    <w:sdtEndPr>
      <w:rPr>
        <w:noProof/>
      </w:rPr>
    </w:sdtEndPr>
    <w:sdtContent>
      <w:p w14:paraId="398BF873" w14:textId="78228418" w:rsidR="005C7F0F" w:rsidRDefault="005C7F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4ED514" w14:textId="77777777" w:rsidR="005C7F0F" w:rsidRDefault="005C7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FA7D9" w14:textId="77777777" w:rsidR="000D33A5" w:rsidRDefault="000D33A5">
      <w:pPr>
        <w:spacing w:after="0" w:line="240" w:lineRule="auto"/>
      </w:pPr>
      <w:r>
        <w:separator/>
      </w:r>
    </w:p>
  </w:footnote>
  <w:footnote w:type="continuationSeparator" w:id="0">
    <w:p w14:paraId="7B12A95E" w14:textId="77777777" w:rsidR="000D33A5" w:rsidRDefault="000D3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C8B60" w14:textId="77777777" w:rsidR="00AB1727" w:rsidRDefault="00AB1727">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84B"/>
    <w:rsid w:val="000D33A5"/>
    <w:rsid w:val="000F6444"/>
    <w:rsid w:val="001B24BE"/>
    <w:rsid w:val="00207D0F"/>
    <w:rsid w:val="002F4092"/>
    <w:rsid w:val="002F4A50"/>
    <w:rsid w:val="00304DA0"/>
    <w:rsid w:val="00310091"/>
    <w:rsid w:val="0033384B"/>
    <w:rsid w:val="003E3617"/>
    <w:rsid w:val="00461EB9"/>
    <w:rsid w:val="00586701"/>
    <w:rsid w:val="00595404"/>
    <w:rsid w:val="005C7F0F"/>
    <w:rsid w:val="006E084B"/>
    <w:rsid w:val="00737BE8"/>
    <w:rsid w:val="0081179A"/>
    <w:rsid w:val="00813297"/>
    <w:rsid w:val="008B7B99"/>
    <w:rsid w:val="009408CB"/>
    <w:rsid w:val="009F7811"/>
    <w:rsid w:val="00A84531"/>
    <w:rsid w:val="00AB1727"/>
    <w:rsid w:val="00C143C9"/>
    <w:rsid w:val="00D2214C"/>
    <w:rsid w:val="00D36011"/>
    <w:rsid w:val="00DB5F33"/>
    <w:rsid w:val="00DD6E8D"/>
    <w:rsid w:val="00EB2E90"/>
    <w:rsid w:val="00EC64C2"/>
    <w:rsid w:val="00F7433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91D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84B"/>
    <w:pPr>
      <w:spacing w:after="200" w:line="276" w:lineRule="auto"/>
    </w:pPr>
    <w:rPr>
      <w:rFonts w:ascii="Calibri" w:eastAsia="Calibri" w:hAnsi="Calibri" w:cs="Calibri"/>
      <w:kern w:val="0"/>
      <w:lang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6E0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84B"/>
    <w:rPr>
      <w:rFonts w:ascii="Calibri" w:eastAsia="Calibri" w:hAnsi="Calibri" w:cs="Calibri"/>
      <w:kern w:val="0"/>
      <w:lang w:eastAsia="en-ID"/>
      <w14:ligatures w14:val="none"/>
    </w:rPr>
  </w:style>
  <w:style w:type="character" w:styleId="Hyperlink">
    <w:name w:val="Hyperlink"/>
    <w:basedOn w:val="DefaultParagraphFont"/>
    <w:uiPriority w:val="99"/>
    <w:unhideWhenUsed/>
    <w:qFormat/>
    <w:rsid w:val="006E084B"/>
    <w:rPr>
      <w:color w:val="0563C1" w:themeColor="hyperlink"/>
      <w:u w:val="single"/>
    </w:rPr>
  </w:style>
  <w:style w:type="paragraph" w:styleId="BodyText">
    <w:name w:val="Body Text"/>
    <w:basedOn w:val="Normal"/>
    <w:link w:val="BodyTextChar"/>
    <w:uiPriority w:val="1"/>
    <w:qFormat/>
    <w:rsid w:val="006E084B"/>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6E084B"/>
    <w:rPr>
      <w:rFonts w:ascii="Times New Roman" w:eastAsia="Times New Roman" w:hAnsi="Times New Roman" w:cs="Times New Roman"/>
      <w:kern w:val="0"/>
      <w:sz w:val="24"/>
      <w:szCs w:val="24"/>
      <w:lang w:val="id"/>
      <w14:ligatures w14:val="none"/>
    </w:rPr>
  </w:style>
  <w:style w:type="table" w:styleId="TableGrid">
    <w:name w:val="Table Grid"/>
    <w:basedOn w:val="TableNormal"/>
    <w:uiPriority w:val="59"/>
    <w:rsid w:val="006E084B"/>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5404"/>
    <w:rPr>
      <w:sz w:val="16"/>
      <w:szCs w:val="16"/>
    </w:rPr>
  </w:style>
  <w:style w:type="paragraph" w:styleId="CommentText">
    <w:name w:val="annotation text"/>
    <w:basedOn w:val="Normal"/>
    <w:link w:val="CommentTextChar"/>
    <w:uiPriority w:val="99"/>
    <w:unhideWhenUsed/>
    <w:rsid w:val="00595404"/>
    <w:pPr>
      <w:spacing w:line="240" w:lineRule="auto"/>
    </w:pPr>
    <w:rPr>
      <w:sz w:val="20"/>
      <w:szCs w:val="20"/>
    </w:rPr>
  </w:style>
  <w:style w:type="character" w:customStyle="1" w:styleId="CommentTextChar">
    <w:name w:val="Comment Text Char"/>
    <w:basedOn w:val="DefaultParagraphFont"/>
    <w:link w:val="CommentText"/>
    <w:uiPriority w:val="99"/>
    <w:rsid w:val="00595404"/>
    <w:rPr>
      <w:rFonts w:ascii="Calibri" w:eastAsia="Calibri" w:hAnsi="Calibri" w:cs="Calibri"/>
      <w:kern w:val="0"/>
      <w:sz w:val="20"/>
      <w:szCs w:val="20"/>
      <w:lang w:eastAsia="en-ID"/>
      <w14:ligatures w14:val="none"/>
    </w:rPr>
  </w:style>
  <w:style w:type="paragraph" w:styleId="CommentSubject">
    <w:name w:val="annotation subject"/>
    <w:basedOn w:val="CommentText"/>
    <w:next w:val="CommentText"/>
    <w:link w:val="CommentSubjectChar"/>
    <w:uiPriority w:val="99"/>
    <w:semiHidden/>
    <w:unhideWhenUsed/>
    <w:rsid w:val="00595404"/>
    <w:rPr>
      <w:b/>
      <w:bCs/>
    </w:rPr>
  </w:style>
  <w:style w:type="character" w:customStyle="1" w:styleId="CommentSubjectChar">
    <w:name w:val="Comment Subject Char"/>
    <w:basedOn w:val="CommentTextChar"/>
    <w:link w:val="CommentSubject"/>
    <w:uiPriority w:val="99"/>
    <w:semiHidden/>
    <w:rsid w:val="00595404"/>
    <w:rPr>
      <w:rFonts w:ascii="Calibri" w:eastAsia="Calibri" w:hAnsi="Calibri" w:cs="Calibri"/>
      <w:b/>
      <w:bCs/>
      <w:kern w:val="0"/>
      <w:sz w:val="20"/>
      <w:szCs w:val="20"/>
      <w:lang w:eastAsia="en-ID"/>
      <w14:ligatures w14:val="none"/>
    </w:rPr>
  </w:style>
  <w:style w:type="paragraph" w:styleId="Header">
    <w:name w:val="header"/>
    <w:basedOn w:val="Normal"/>
    <w:link w:val="HeaderChar"/>
    <w:uiPriority w:val="99"/>
    <w:unhideWhenUsed/>
    <w:rsid w:val="00C143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3C9"/>
    <w:rPr>
      <w:rFonts w:ascii="Calibri" w:eastAsia="Calibri" w:hAnsi="Calibri" w:cs="Calibri"/>
      <w:kern w:val="0"/>
      <w:lang w:eastAsia="en-ID"/>
      <w14:ligatures w14:val="none"/>
    </w:rPr>
  </w:style>
  <w:style w:type="character" w:styleId="UnresolvedMention">
    <w:name w:val="Unresolved Mention"/>
    <w:basedOn w:val="DefaultParagraphFont"/>
    <w:uiPriority w:val="99"/>
    <w:semiHidden/>
    <w:unhideWhenUsed/>
    <w:rsid w:val="00EB2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knowledge4020013" TargetMode="External"/><Relationship Id="rId18" Type="http://schemas.openxmlformats.org/officeDocument/2006/relationships/hyperlink" Target="https://d1wqtxts1xzle7.cloudfront.net/77245837/430-libre.pdf?1640349886=&amp;response-content-disposition=inline%3B+filename%3DDisparitas_Balita_Kurang_Gizi_di_Indones.pdf&amp;Expires=1722576740&amp;Signature=dXZtF20TJD8flKS0ETsfZIGNNO~SHSdc1Ri-QU3wC0EwPfuxDxxxlF9U1OTcTdrDu8MLAq~-uWdi-PeBuooqAW7eMAA-0deMESxfXAyKgZrksIbwMp2eIKpMoan1IIBeKNqY6WCDSpaOH3gAGM7-vBbmjmguwKrqCQg6pRUYr14u1rTomlV2uKSu7t0ak5xmmuQkn-0XNRSLN7d7NKa8en~hinYzLcLafROiJOWfwr23x97A0iDjB~1TwzuAdwoRlKQfAruaOsZgYNJCw-zEUlLs0VL8OzFXbTiaCA7f01uF7om8UeQDT9bx3qBqdc7gtUnA3LN1LxMH1Y-UrSdofA__&amp;Key-Pair-Id=APKAJLOHF5GGSLRBV4ZA" TargetMode="External"/><Relationship Id="rId26" Type="http://schemas.openxmlformats.org/officeDocument/2006/relationships/hyperlink" Target="https://link.springer.com/article/10.1186/s12995-023-00386-2" TargetMode="External"/><Relationship Id="rId39" Type="http://schemas.openxmlformats.org/officeDocument/2006/relationships/hyperlink" Target="https://www.researchgate.net/profile/Kencana-Sari/publication/313680935_Peran_Kesenjangan_Ekonomi_terhadap_Kejadian_Kegemukan/links/621746c482f54a53b1a7fbed/Peran-Kesenjangan-Ekonomi-terhadap-Kejadian-Kegemukan.pdf" TargetMode="External"/><Relationship Id="rId21" Type="http://schemas.openxmlformats.org/officeDocument/2006/relationships/hyperlink" Target="https://doi.org/10.19184/stoma.v20i1.38596" TargetMode="External"/><Relationship Id="rId34" Type="http://schemas.openxmlformats.org/officeDocument/2006/relationships/hyperlink" Target="https://jurnal.ugm.ac.id/v3/JMPK/article/view/1853" TargetMode="External"/><Relationship Id="rId42" Type="http://schemas.openxmlformats.org/officeDocument/2006/relationships/hyperlink" Target="https://doi.org/10.1136/bmjpo-2019-000503" TargetMode="External"/><Relationship Id="rId47" Type="http://schemas.openxmlformats.org/officeDocument/2006/relationships/hyperlink" Target="https://journal.sragenkab.go.id/index.php/sukowati/article/view/111" TargetMode="External"/><Relationship Id="rId50"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nj.westscience-press.com/index.php/jpws/article/view/374" TargetMode="External"/><Relationship Id="rId29" Type="http://schemas.openxmlformats.org/officeDocument/2006/relationships/hyperlink" Target="https://doi.org/10.1111/1468-4446.13121" TargetMode="External"/><Relationship Id="rId11" Type="http://schemas.openxmlformats.org/officeDocument/2006/relationships/hyperlink" Target="mailto:dginting60@gmail.com" TargetMode="External"/><Relationship Id="rId24" Type="http://schemas.openxmlformats.org/officeDocument/2006/relationships/hyperlink" Target="https://jurnal.ugm.ac.id/jkki/issue/view/4796" TargetMode="External"/><Relationship Id="rId32" Type="http://schemas.openxmlformats.org/officeDocument/2006/relationships/hyperlink" Target="https://d1wqtxts1xzle7.cloudfront.net/69769496/pdf-libre.pdf?1631837635=&amp;response-content-disposition=inline%3B+filename%3DDisparitas_Kematian_Maternal_di_Indonesi.pdf&amp;Expires=1722577539&amp;Signature=YgrxelHjkHdCVbrQEsWpoMxE4HpERHmvOxuHx61vtFtSW8PPYfPkfRMk6-hnyKaE5KI4iIzStAn~B4Oj34OL93Ru5YD2XocF6a2CNg6WpAQfZN468dG1QC2Cz88XaLo~1i3JNchi5U8wS2Nmq~kuwiRJhlZDE1Ex-Y3mM8VTUPg4DgqTFgCYWfpbdW~IZW6euxoS1BpHTLsic9mMj4bHOt9Z0mF~lyB0qsOBSiQLi03NeGE9y29Cc4RFaJd5leQejbR2yQrka5hSFgRc6sSNPHv55BJneW0C58CvJaEu-Ec6rX45jef3xQINiOK12ds8N0LnIlYHETVWLEIJPZJ3eQ__&amp;Key-Pair-Id=APKAJLOHF5GGSLRBV4ZA" TargetMode="External"/><Relationship Id="rId37" Type="http://schemas.openxmlformats.org/officeDocument/2006/relationships/hyperlink" Target="https://www.cambridge.org/core/journals/international-psychogeriatrics/article/fc36-social-determinants-of-modifiable-dementia-risk-in-maori-and-nonmaori-results-of-the-new-zealand-health-work-and-retirement-study/FD65EBEC6D3F78ABFAAE43A9256E65E9" TargetMode="External"/><Relationship Id="rId40" Type="http://schemas.openxmlformats.org/officeDocument/2006/relationships/hyperlink" Target="https://doi.org/10.58812/jmws.v2i08.579" TargetMode="External"/><Relationship Id="rId45" Type="http://schemas.openxmlformats.org/officeDocument/2006/relationships/hyperlink" Target="https://media.neliti.com/media/publications-test/197273-kesenjangan-sosio-ekonomi-dan-faktor-yan-7ea893e8.pdf" TargetMode="External"/><Relationship Id="rId5" Type="http://schemas.openxmlformats.org/officeDocument/2006/relationships/endnotes" Target="endnotes.xml"/><Relationship Id="rId15" Type="http://schemas.openxmlformats.org/officeDocument/2006/relationships/hyperlink" Target="https://doi.org/10.58812/jpws.v2i5.374" TargetMode="External"/><Relationship Id="rId23" Type="http://schemas.openxmlformats.org/officeDocument/2006/relationships/hyperlink" Target="https://doi.org/https:/doi.org/10.22146/jkki.69490" TargetMode="External"/><Relationship Id="rId28" Type="http://schemas.openxmlformats.org/officeDocument/2006/relationships/hyperlink" Target="https://jech.bmj.com/content/76/9/833.abstract" TargetMode="External"/><Relationship Id="rId36" Type="http://schemas.openxmlformats.org/officeDocument/2006/relationships/hyperlink" Target="https://doi.org/10.1017/S1041610223001345" TargetMode="External"/><Relationship Id="rId49" Type="http://schemas.openxmlformats.org/officeDocument/2006/relationships/fontTable" Target="fontTable.xml"/><Relationship Id="rId10" Type="http://schemas.openxmlformats.org/officeDocument/2006/relationships/hyperlink" Target="https://gelinkes.poltekkesdepkes-sby.ac.id/" TargetMode="External"/><Relationship Id="rId19" Type="http://schemas.openxmlformats.org/officeDocument/2006/relationships/hyperlink" Target="https://doi.org/10.26553/jikm.2016.7.2.73-80" TargetMode="External"/><Relationship Id="rId31" Type="http://schemas.openxmlformats.org/officeDocument/2006/relationships/hyperlink" Target="https://doi.org/10.30597/mkmi.v14i2.3630" TargetMode="External"/><Relationship Id="rId44" Type="http://schemas.openxmlformats.org/officeDocument/2006/relationships/hyperlink" Target="https://doi.org/10.22435/bpk.v45i3.6711.169-176" TargetMode="External"/><Relationship Id="rId4" Type="http://schemas.openxmlformats.org/officeDocument/2006/relationships/footnotes" Target="footnotes.xml"/><Relationship Id="rId9" Type="http://schemas.openxmlformats.org/officeDocument/2006/relationships/hyperlink" Target="https://doi.org/10.36568/gelinkes.v22i1.166" TargetMode="External"/><Relationship Id="rId14" Type="http://schemas.openxmlformats.org/officeDocument/2006/relationships/hyperlink" Target="https://www.mdpi.com/2673-9585/4/2/13" TargetMode="External"/><Relationship Id="rId22" Type="http://schemas.openxmlformats.org/officeDocument/2006/relationships/hyperlink" Target="https://jurnal.unej.ac.id/index.php/STOMA/article/view/38596" TargetMode="External"/><Relationship Id="rId27" Type="http://schemas.openxmlformats.org/officeDocument/2006/relationships/hyperlink" Target="https://doi.org/10.1136/jech-2022-219085" TargetMode="External"/><Relationship Id="rId30" Type="http://schemas.openxmlformats.org/officeDocument/2006/relationships/hyperlink" Target="https://onlinelibrary.wiley.com/doi/full/10.1111/1468-4446.13121" TargetMode="External"/><Relationship Id="rId35" Type="http://schemas.openxmlformats.org/officeDocument/2006/relationships/hyperlink" Target="https://www.healthypeople.gov/node/3499/2020/topics-objectives/topic/social-determinants-%20health" TargetMode="External"/><Relationship Id="rId43" Type="http://schemas.openxmlformats.org/officeDocument/2006/relationships/hyperlink" Target="https://www.ncbi.nlm.nih.gov/pmc/articles/PMC6688679/" TargetMode="External"/><Relationship Id="rId48" Type="http://schemas.openxmlformats.org/officeDocument/2006/relationships/hyperlink" Target="https://www.who.int/health-topics/health-equity" TargetMode="External"/><Relationship Id="rId8"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image" Target="media/image1.jpg"/><Relationship Id="rId17" Type="http://schemas.openxmlformats.org/officeDocument/2006/relationships/hyperlink" Target="https://doi.org/10.22435/mpk.v28i3.219" TargetMode="External"/><Relationship Id="rId25" Type="http://schemas.openxmlformats.org/officeDocument/2006/relationships/hyperlink" Target="https://doi.org/10.1186/s12995-023-00386-2" TargetMode="External"/><Relationship Id="rId33" Type="http://schemas.openxmlformats.org/officeDocument/2006/relationships/hyperlink" Target="https://doi.org/10.22146/jmpk.v19i3.1853" TargetMode="External"/><Relationship Id="rId38" Type="http://schemas.openxmlformats.org/officeDocument/2006/relationships/hyperlink" Target="https://doi.org/10.22435/mpk.v26i3.5737.127-136" TargetMode="External"/><Relationship Id="rId46" Type="http://schemas.openxmlformats.org/officeDocument/2006/relationships/hyperlink" Target="https://doi.org/10.32630/sukowati.v3i1.111" TargetMode="External"/><Relationship Id="rId20" Type="http://schemas.openxmlformats.org/officeDocument/2006/relationships/hyperlink" Target="https://www.neliti.com/publications/58014/equity-of-access-to-health-care-theory-aplication-in-research" TargetMode="External"/><Relationship Id="rId41" Type="http://schemas.openxmlformats.org/officeDocument/2006/relationships/hyperlink" Target="https://wnj.westscience-press.com/index.php/jmws/article/view/579" TargetMode="External"/><Relationship Id="rId1"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9761</Words>
  <Characters>55640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2024-08-03T03:28:00Z</dcterms:created>
  <dcterms:modified xsi:type="dcterms:W3CDTF">2024-08-03T03:30:00Z</dcterms:modified>
</cp:coreProperties>
</file>